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904A" w14:textId="77777777" w:rsidR="00642F83" w:rsidRDefault="000050C5" w:rsidP="00AA1917">
      <w:pPr>
        <w:pStyle w:val="Title"/>
        <w:jc w:val="both"/>
      </w:pPr>
      <w:r>
        <w:t xml:space="preserve">Centria-ammattikorkeakoulun käytänteet </w:t>
      </w:r>
      <w:proofErr w:type="spellStart"/>
      <w:r>
        <w:t>Gender</w:t>
      </w:r>
      <w:proofErr w:type="spellEnd"/>
      <w:r>
        <w:t xml:space="preserve"> </w:t>
      </w:r>
      <w:proofErr w:type="spellStart"/>
      <w:r>
        <w:t>Equality</w:t>
      </w:r>
      <w:proofErr w:type="spellEnd"/>
      <w:r>
        <w:t xml:space="preserve"> </w:t>
      </w:r>
      <w:proofErr w:type="spellStart"/>
      <w:r>
        <w:t>Plan:in</w:t>
      </w:r>
      <w:proofErr w:type="spellEnd"/>
      <w:r>
        <w:t xml:space="preserve"> täyttämiseksi</w:t>
      </w:r>
    </w:p>
    <w:p w14:paraId="0C6D6464" w14:textId="77777777" w:rsidR="000050C5" w:rsidRDefault="000050C5" w:rsidP="00AA1917">
      <w:pPr>
        <w:jc w:val="both"/>
      </w:pPr>
    </w:p>
    <w:p w14:paraId="5BB10D65" w14:textId="77777777" w:rsidR="000050C5" w:rsidRPr="009B073F" w:rsidRDefault="000050C5" w:rsidP="00AA1917">
      <w:pPr>
        <w:jc w:val="both"/>
      </w:pPr>
      <w:proofErr w:type="spellStart"/>
      <w:r w:rsidRPr="000050C5">
        <w:rPr>
          <w:lang w:val="en-US"/>
        </w:rPr>
        <w:t>Euroopan</w:t>
      </w:r>
      <w:proofErr w:type="spellEnd"/>
      <w:r w:rsidRPr="000050C5">
        <w:rPr>
          <w:lang w:val="en-US"/>
        </w:rPr>
        <w:t xml:space="preserve"> </w:t>
      </w:r>
      <w:proofErr w:type="spellStart"/>
      <w:r w:rsidRPr="000050C5">
        <w:rPr>
          <w:lang w:val="en-US"/>
        </w:rPr>
        <w:t>unioni</w:t>
      </w:r>
      <w:proofErr w:type="spellEnd"/>
      <w:r w:rsidRPr="000050C5">
        <w:rPr>
          <w:lang w:val="en-US"/>
        </w:rPr>
        <w:t xml:space="preserve"> (EU) </w:t>
      </w:r>
      <w:proofErr w:type="spellStart"/>
      <w:r w:rsidRPr="000050C5">
        <w:rPr>
          <w:lang w:val="en-US"/>
        </w:rPr>
        <w:t>vaatii</w:t>
      </w:r>
      <w:proofErr w:type="spellEnd"/>
      <w:r w:rsidRPr="000050C5">
        <w:rPr>
          <w:lang w:val="en-US"/>
        </w:rPr>
        <w:t xml:space="preserve"> </w:t>
      </w:r>
      <w:proofErr w:type="spellStart"/>
      <w:r w:rsidRPr="000050C5">
        <w:rPr>
          <w:lang w:val="en-US"/>
        </w:rPr>
        <w:t>vuodesta</w:t>
      </w:r>
      <w:proofErr w:type="spellEnd"/>
      <w:r w:rsidRPr="000050C5">
        <w:rPr>
          <w:lang w:val="en-US"/>
        </w:rPr>
        <w:t xml:space="preserve"> 2022 </w:t>
      </w:r>
      <w:proofErr w:type="spellStart"/>
      <w:r w:rsidRPr="000050C5">
        <w:rPr>
          <w:lang w:val="en-US"/>
        </w:rPr>
        <w:t>lähtien</w:t>
      </w:r>
      <w:proofErr w:type="spellEnd"/>
      <w:r w:rsidRPr="000050C5">
        <w:rPr>
          <w:lang w:val="en-US"/>
        </w:rPr>
        <w:t xml:space="preserve">, </w:t>
      </w:r>
      <w:proofErr w:type="spellStart"/>
      <w:r w:rsidRPr="000050C5">
        <w:rPr>
          <w:lang w:val="en-US"/>
        </w:rPr>
        <w:t>että</w:t>
      </w:r>
      <w:proofErr w:type="spellEnd"/>
      <w:r w:rsidRPr="000050C5">
        <w:rPr>
          <w:lang w:val="en-US"/>
        </w:rPr>
        <w:t xml:space="preserve"> </w:t>
      </w:r>
      <w:proofErr w:type="spellStart"/>
      <w:r w:rsidRPr="000050C5">
        <w:rPr>
          <w:lang w:val="en-US"/>
        </w:rPr>
        <w:t>jokainen</w:t>
      </w:r>
      <w:proofErr w:type="spellEnd"/>
      <w:r w:rsidRPr="000050C5">
        <w:rPr>
          <w:lang w:val="en-US"/>
        </w:rPr>
        <w:t xml:space="preserve"> </w:t>
      </w:r>
      <w:proofErr w:type="spellStart"/>
      <w:r w:rsidRPr="000050C5">
        <w:rPr>
          <w:lang w:val="en-US"/>
        </w:rPr>
        <w:t>korkeakoulu</w:t>
      </w:r>
      <w:proofErr w:type="spellEnd"/>
      <w:r w:rsidRPr="000050C5">
        <w:rPr>
          <w:lang w:val="en-US"/>
        </w:rPr>
        <w:t xml:space="preserve">, </w:t>
      </w:r>
      <w:proofErr w:type="spellStart"/>
      <w:r w:rsidRPr="000050C5">
        <w:rPr>
          <w:lang w:val="en-US"/>
        </w:rPr>
        <w:t>joka</w:t>
      </w:r>
      <w:proofErr w:type="spellEnd"/>
      <w:r w:rsidRPr="000050C5">
        <w:rPr>
          <w:lang w:val="en-US"/>
        </w:rPr>
        <w:t xml:space="preserve"> </w:t>
      </w:r>
      <w:proofErr w:type="spellStart"/>
      <w:r w:rsidRPr="000050C5">
        <w:rPr>
          <w:lang w:val="en-US"/>
        </w:rPr>
        <w:t>hakee</w:t>
      </w:r>
      <w:proofErr w:type="spellEnd"/>
      <w:r w:rsidRPr="000050C5">
        <w:rPr>
          <w:lang w:val="en-US"/>
        </w:rPr>
        <w:t xml:space="preserve"> ja </w:t>
      </w:r>
      <w:proofErr w:type="spellStart"/>
      <w:r w:rsidRPr="000050C5">
        <w:rPr>
          <w:lang w:val="en-US"/>
        </w:rPr>
        <w:t>osallistuu</w:t>
      </w:r>
      <w:proofErr w:type="spellEnd"/>
      <w:r w:rsidRPr="000050C5">
        <w:rPr>
          <w:lang w:val="en-US"/>
        </w:rPr>
        <w:t xml:space="preserve"> </w:t>
      </w:r>
      <w:proofErr w:type="spellStart"/>
      <w:r w:rsidRPr="000050C5">
        <w:rPr>
          <w:lang w:val="en-US"/>
        </w:rPr>
        <w:t>EU:n</w:t>
      </w:r>
      <w:proofErr w:type="spellEnd"/>
      <w:r w:rsidRPr="000050C5">
        <w:rPr>
          <w:lang w:val="en-US"/>
        </w:rPr>
        <w:t xml:space="preserve"> Horizon </w:t>
      </w:r>
      <w:proofErr w:type="spellStart"/>
      <w:r w:rsidRPr="000050C5">
        <w:rPr>
          <w:lang w:val="en-US"/>
        </w:rPr>
        <w:t>Europe:en</w:t>
      </w:r>
      <w:proofErr w:type="spellEnd"/>
      <w:r w:rsidRPr="000050C5">
        <w:rPr>
          <w:lang w:val="en-US"/>
        </w:rPr>
        <w:t xml:space="preserve"> </w:t>
      </w:r>
      <w:proofErr w:type="spellStart"/>
      <w:r w:rsidRPr="000050C5">
        <w:rPr>
          <w:lang w:val="en-US"/>
        </w:rPr>
        <w:t>noudattaa</w:t>
      </w:r>
      <w:proofErr w:type="spellEnd"/>
      <w:r w:rsidRPr="000050C5">
        <w:rPr>
          <w:lang w:val="en-US"/>
        </w:rPr>
        <w:t xml:space="preserve"> Gender </w:t>
      </w:r>
      <w:proofErr w:type="spellStart"/>
      <w:r w:rsidRPr="000050C5">
        <w:rPr>
          <w:lang w:val="en-US"/>
        </w:rPr>
        <w:t>Equiality</w:t>
      </w:r>
      <w:proofErr w:type="spellEnd"/>
      <w:r w:rsidRPr="000050C5">
        <w:rPr>
          <w:lang w:val="en-US"/>
        </w:rPr>
        <w:t xml:space="preserve"> </w:t>
      </w:r>
      <w:proofErr w:type="spellStart"/>
      <w:r w:rsidRPr="000050C5">
        <w:rPr>
          <w:lang w:val="en-US"/>
        </w:rPr>
        <w:t>Plan:in</w:t>
      </w:r>
      <w:proofErr w:type="spellEnd"/>
      <w:r w:rsidRPr="000050C5">
        <w:rPr>
          <w:lang w:val="en-US"/>
        </w:rPr>
        <w:t xml:space="preserve"> (GEP) </w:t>
      </w:r>
      <w:proofErr w:type="spellStart"/>
      <w:r w:rsidRPr="000050C5">
        <w:rPr>
          <w:lang w:val="en-US"/>
        </w:rPr>
        <w:t>vaatimuksia</w:t>
      </w:r>
      <w:proofErr w:type="spellEnd"/>
      <w:r w:rsidR="009B073F">
        <w:rPr>
          <w:lang w:val="en-US"/>
        </w:rPr>
        <w:t>:</w:t>
      </w:r>
      <w:r w:rsidRPr="000050C5">
        <w:rPr>
          <w:lang w:val="en-US"/>
        </w:rPr>
        <w:t xml:space="preserve"> ”Individual </w:t>
      </w:r>
      <w:proofErr w:type="spellStart"/>
      <w:r w:rsidRPr="000050C5">
        <w:rPr>
          <w:lang w:val="en-US"/>
        </w:rPr>
        <w:t>organisations</w:t>
      </w:r>
      <w:proofErr w:type="spellEnd"/>
      <w:r w:rsidRPr="000050C5">
        <w:rPr>
          <w:lang w:val="en-US"/>
        </w:rPr>
        <w:t xml:space="preserve"> applying to any part of Horizon Europe, and belonging to the following categories of legal entities establi</w:t>
      </w:r>
      <w:r>
        <w:rPr>
          <w:lang w:val="en-US"/>
        </w:rPr>
        <w:t xml:space="preserve">shed in EU Member States or Associated countries, are all required to have a GEP as of calls for proposals with deadlines in 2022 onwards… </w:t>
      </w:r>
      <w:r w:rsidRPr="009B073F">
        <w:t>(</w:t>
      </w:r>
      <w:proofErr w:type="spellStart"/>
      <w:r w:rsidRPr="009B073F">
        <w:t>Horizon</w:t>
      </w:r>
      <w:proofErr w:type="spellEnd"/>
      <w:r w:rsidRPr="009B073F">
        <w:t xml:space="preserve"> Europe </w:t>
      </w:r>
      <w:proofErr w:type="spellStart"/>
      <w:r w:rsidRPr="009B073F">
        <w:t>Guidance</w:t>
      </w:r>
      <w:proofErr w:type="spellEnd"/>
      <w:r w:rsidRPr="009B073F">
        <w:t xml:space="preserve"> on </w:t>
      </w:r>
      <w:proofErr w:type="spellStart"/>
      <w:r w:rsidRPr="009B073F">
        <w:t>Gender</w:t>
      </w:r>
      <w:proofErr w:type="spellEnd"/>
      <w:r w:rsidRPr="009B073F">
        <w:t xml:space="preserve"> </w:t>
      </w:r>
      <w:proofErr w:type="spellStart"/>
      <w:r w:rsidRPr="009B073F">
        <w:t>Equality</w:t>
      </w:r>
      <w:proofErr w:type="spellEnd"/>
      <w:r w:rsidRPr="009B073F">
        <w:t xml:space="preserve"> </w:t>
      </w:r>
      <w:proofErr w:type="spellStart"/>
      <w:r w:rsidRPr="009B073F">
        <w:t>Plans</w:t>
      </w:r>
      <w:proofErr w:type="spellEnd"/>
      <w:r w:rsidRPr="009B073F">
        <w:t xml:space="preserve"> 2021, 5)”. Korkeakoulut ovat yksi tällainen toimija, joita tämä</w:t>
      </w:r>
      <w:r w:rsidR="009B073F">
        <w:t xml:space="preserve"> vaatimus</w:t>
      </w:r>
      <w:r w:rsidRPr="009B073F">
        <w:t xml:space="preserve"> koskee. </w:t>
      </w:r>
    </w:p>
    <w:p w14:paraId="325BB6F5" w14:textId="77777777" w:rsidR="000050C5" w:rsidRDefault="000050C5" w:rsidP="00AA1917">
      <w:pPr>
        <w:jc w:val="both"/>
      </w:pPr>
      <w:r w:rsidRPr="000050C5">
        <w:t xml:space="preserve">Tässä dokumentissa esitetään Centria-ammattikorkeakoulun </w:t>
      </w:r>
      <w:r>
        <w:t xml:space="preserve">(Centria) käytänteet </w:t>
      </w:r>
      <w:proofErr w:type="spellStart"/>
      <w:r>
        <w:t>GEP:n</w:t>
      </w:r>
      <w:proofErr w:type="spellEnd"/>
      <w:r>
        <w:t xml:space="preserve"> vaatimusten täyttämiseksi. </w:t>
      </w:r>
    </w:p>
    <w:p w14:paraId="038691A0" w14:textId="77777777" w:rsidR="000050C5" w:rsidRDefault="000050C5" w:rsidP="00AA1917">
      <w:pPr>
        <w:jc w:val="both"/>
      </w:pPr>
      <w:r>
        <w:t xml:space="preserve">Dokumentissa on </w:t>
      </w:r>
      <w:r w:rsidR="001968D6">
        <w:t>viisi</w:t>
      </w:r>
      <w:r>
        <w:t xml:space="preserve"> lukua, </w:t>
      </w:r>
      <w:r w:rsidR="001968D6">
        <w:t xml:space="preserve">joista neljä </w:t>
      </w:r>
      <w:proofErr w:type="spellStart"/>
      <w:r w:rsidR="001968D6">
        <w:t>ensimmäsitä</w:t>
      </w:r>
      <w:proofErr w:type="spellEnd"/>
      <w:r w:rsidR="001968D6">
        <w:t xml:space="preserve"> </w:t>
      </w:r>
      <w:r>
        <w:t xml:space="preserve">vastaavat yhteen neljästä </w:t>
      </w:r>
      <w:proofErr w:type="spellStart"/>
      <w:r>
        <w:t>GEP:ssä</w:t>
      </w:r>
      <w:proofErr w:type="spellEnd"/>
      <w:r>
        <w:t xml:space="preserve"> esitettyyn vaatimukseen. </w:t>
      </w:r>
      <w:r w:rsidR="001968D6">
        <w:t xml:space="preserve">Viides luku käsittelee yksityiskohtia, jotka mainitaan </w:t>
      </w:r>
      <w:proofErr w:type="spellStart"/>
      <w:r w:rsidR="001968D6" w:rsidRPr="009B073F">
        <w:t>Horizon</w:t>
      </w:r>
      <w:proofErr w:type="spellEnd"/>
      <w:r w:rsidR="001968D6" w:rsidRPr="009B073F">
        <w:t xml:space="preserve"> Europe </w:t>
      </w:r>
      <w:proofErr w:type="spellStart"/>
      <w:r w:rsidR="001968D6" w:rsidRPr="009B073F">
        <w:t>Guidance</w:t>
      </w:r>
      <w:proofErr w:type="spellEnd"/>
      <w:r w:rsidR="001968D6" w:rsidRPr="009B073F">
        <w:t xml:space="preserve"> on </w:t>
      </w:r>
      <w:proofErr w:type="spellStart"/>
      <w:r w:rsidR="001968D6" w:rsidRPr="009B073F">
        <w:t>Gender</w:t>
      </w:r>
      <w:proofErr w:type="spellEnd"/>
      <w:r w:rsidR="001968D6" w:rsidRPr="009B073F">
        <w:t xml:space="preserve"> </w:t>
      </w:r>
      <w:proofErr w:type="spellStart"/>
      <w:r w:rsidR="001968D6" w:rsidRPr="009B073F">
        <w:t>Equality</w:t>
      </w:r>
      <w:proofErr w:type="spellEnd"/>
      <w:r w:rsidR="001968D6" w:rsidRPr="009B073F">
        <w:t xml:space="preserve"> </w:t>
      </w:r>
      <w:proofErr w:type="spellStart"/>
      <w:r w:rsidR="001968D6" w:rsidRPr="009B073F">
        <w:t>Plans</w:t>
      </w:r>
      <w:proofErr w:type="spellEnd"/>
      <w:r w:rsidR="001968D6">
        <w:t xml:space="preserve"> -dokumentissa. </w:t>
      </w:r>
    </w:p>
    <w:p w14:paraId="5C8D5894" w14:textId="77777777" w:rsidR="000050C5" w:rsidRDefault="000050C5" w:rsidP="00AA1917">
      <w:pPr>
        <w:jc w:val="both"/>
      </w:pPr>
    </w:p>
    <w:p w14:paraId="358BFB1C" w14:textId="77777777" w:rsidR="000050C5" w:rsidRDefault="003975D2" w:rsidP="00AA1917">
      <w:pPr>
        <w:pStyle w:val="Heading1"/>
        <w:jc w:val="both"/>
      </w:pPr>
      <w:r>
        <w:t xml:space="preserve">Julkinen </w:t>
      </w:r>
      <w:r w:rsidR="009B073F">
        <w:t>asiakirja</w:t>
      </w:r>
    </w:p>
    <w:p w14:paraId="562D36BD" w14:textId="77777777" w:rsidR="009B073F" w:rsidRDefault="009B073F" w:rsidP="00AA1917">
      <w:pPr>
        <w:jc w:val="both"/>
      </w:pPr>
      <w:proofErr w:type="spellStart"/>
      <w:r>
        <w:t>GEP:n</w:t>
      </w:r>
      <w:proofErr w:type="spellEnd"/>
      <w:r>
        <w:t xml:space="preserve"> täytyy olla julkisesti esillä korkeakoulun verkkosivuilla, ylimmän johdon allekirjoittama ja aktiivisesti kommunikoitu korkeakoulun henkilöstölle. </w:t>
      </w:r>
    </w:p>
    <w:p w14:paraId="1F99DB23" w14:textId="77777777" w:rsidR="009B073F" w:rsidRDefault="009B073F" w:rsidP="00AA1917">
      <w:pPr>
        <w:jc w:val="both"/>
      </w:pPr>
      <w:r>
        <w:t>Tämä asiakirja on rehtori/toimitusjohtajan allekirjoittama ja tämä asiakirja löytyy korkeakoulun verkkosivuilta. Lisäksi Centri</w:t>
      </w:r>
      <w:r w:rsidR="004F65AA">
        <w:t xml:space="preserve">a-ammattikorkeakoulussa </w:t>
      </w:r>
      <w:r>
        <w:t>tehdään vuosittain tasa-arvo</w:t>
      </w:r>
      <w:r w:rsidR="004F65AA">
        <w:t>- ja yhdenvertaisuus</w:t>
      </w:r>
      <w:r>
        <w:t xml:space="preserve">suunnitelma, joka suurelta osin vastaa </w:t>
      </w:r>
      <w:proofErr w:type="spellStart"/>
      <w:r>
        <w:t>GEP:n</w:t>
      </w:r>
      <w:proofErr w:type="spellEnd"/>
      <w:r>
        <w:t xml:space="preserve"> vaatimiin asioihin. Myös tasa-arvo</w:t>
      </w:r>
      <w:r w:rsidR="004F65AA">
        <w:t>- ja yhdenvertaisuus</w:t>
      </w:r>
      <w:r>
        <w:t xml:space="preserve">suunnitelma on rehtori/toimitusjohtajan allekirjoittama ja löytyy Centrian verkkosivuilta. </w:t>
      </w:r>
    </w:p>
    <w:p w14:paraId="6C788576" w14:textId="77777777" w:rsidR="00AA1917" w:rsidRPr="00AA1917" w:rsidRDefault="003F67B5" w:rsidP="00AA1917">
      <w:pPr>
        <w:jc w:val="both"/>
      </w:pPr>
      <w:r>
        <w:t xml:space="preserve">Centria on sitoutunut edistämään tasa-arvoa toiminnassaan. </w:t>
      </w:r>
      <w:r w:rsidR="00AA1917">
        <w:t>T</w:t>
      </w:r>
      <w:r w:rsidR="00AA1917" w:rsidRPr="00AA1917">
        <w:rPr>
          <w:rFonts w:cstheme="minorHAnsi"/>
        </w:rPr>
        <w:t>asa-arvo- ja yhdenvertaisuussuunnitelman tavoitteena on</w:t>
      </w:r>
    </w:p>
    <w:p w14:paraId="66A4DF19" w14:textId="77777777" w:rsidR="00AA1917" w:rsidRPr="00AA1917" w:rsidRDefault="00AA1917" w:rsidP="00AA1917">
      <w:pPr>
        <w:pStyle w:val="NoSpacing"/>
        <w:numPr>
          <w:ilvl w:val="0"/>
          <w:numId w:val="10"/>
        </w:numPr>
        <w:rPr>
          <w:rFonts w:asciiTheme="minorHAnsi" w:hAnsiTheme="minorHAnsi" w:cstheme="minorHAnsi"/>
          <w:sz w:val="22"/>
          <w:szCs w:val="22"/>
        </w:rPr>
      </w:pPr>
      <w:r w:rsidRPr="00AA1917">
        <w:rPr>
          <w:rFonts w:asciiTheme="minorHAnsi" w:hAnsiTheme="minorHAnsi" w:cstheme="minorHAnsi"/>
          <w:sz w:val="22"/>
          <w:szCs w:val="22"/>
        </w:rPr>
        <w:t xml:space="preserve">edistää yhdenvertaisuutta ja ehkäistä syrjintää, </w:t>
      </w:r>
    </w:p>
    <w:p w14:paraId="5E0FBD30" w14:textId="77777777" w:rsidR="00AA1917" w:rsidRPr="00AA1917" w:rsidRDefault="00AA1917" w:rsidP="00AA1917">
      <w:pPr>
        <w:pStyle w:val="NoSpacing"/>
        <w:numPr>
          <w:ilvl w:val="0"/>
          <w:numId w:val="10"/>
        </w:numPr>
        <w:rPr>
          <w:rFonts w:asciiTheme="minorHAnsi" w:hAnsiTheme="minorHAnsi" w:cstheme="minorHAnsi"/>
          <w:sz w:val="22"/>
          <w:szCs w:val="22"/>
        </w:rPr>
      </w:pPr>
      <w:r w:rsidRPr="00AA1917">
        <w:rPr>
          <w:rFonts w:asciiTheme="minorHAnsi" w:hAnsiTheme="minorHAnsi" w:cstheme="minorHAnsi"/>
          <w:sz w:val="22"/>
          <w:szCs w:val="22"/>
        </w:rPr>
        <w:t xml:space="preserve">varmistaa henkilöstöjohtamisen prosessien, käytäntöjen ja ohjeiden syrjimättömyys, </w:t>
      </w:r>
    </w:p>
    <w:p w14:paraId="1CD9C4FD" w14:textId="77777777" w:rsidR="00AA1917" w:rsidRPr="00AA1917" w:rsidRDefault="00AA1917" w:rsidP="00AA1917">
      <w:pPr>
        <w:pStyle w:val="NoSpacing"/>
        <w:numPr>
          <w:ilvl w:val="0"/>
          <w:numId w:val="10"/>
        </w:numPr>
        <w:rPr>
          <w:rFonts w:asciiTheme="minorHAnsi" w:hAnsiTheme="minorHAnsi" w:cstheme="minorHAnsi"/>
          <w:color w:val="000000" w:themeColor="text1"/>
          <w:sz w:val="22"/>
          <w:szCs w:val="22"/>
        </w:rPr>
      </w:pPr>
      <w:r w:rsidRPr="00AA1917">
        <w:rPr>
          <w:rFonts w:asciiTheme="minorHAnsi" w:hAnsiTheme="minorHAnsi" w:cstheme="minorHAnsi"/>
          <w:sz w:val="22"/>
          <w:szCs w:val="22"/>
        </w:rPr>
        <w:t>kohtuullisten mukautusten avulla varmistaa yhdenvertainen osallistuminen</w:t>
      </w:r>
    </w:p>
    <w:p w14:paraId="6966DC9F" w14:textId="77777777" w:rsidR="00AA1917" w:rsidRPr="00AA1917" w:rsidRDefault="00AA1917" w:rsidP="00AA1917">
      <w:pPr>
        <w:pStyle w:val="NoSpacing"/>
        <w:ind w:left="720"/>
        <w:rPr>
          <w:rFonts w:asciiTheme="minorHAnsi" w:hAnsiTheme="minorHAnsi" w:cstheme="minorHAnsi"/>
          <w:sz w:val="22"/>
          <w:szCs w:val="22"/>
        </w:rPr>
      </w:pPr>
    </w:p>
    <w:p w14:paraId="2A2AC13D" w14:textId="77777777" w:rsidR="00AA1917" w:rsidRPr="00AA1917" w:rsidRDefault="00AA1917" w:rsidP="00AA1917">
      <w:pPr>
        <w:rPr>
          <w:rFonts w:cstheme="minorHAnsi"/>
        </w:rPr>
      </w:pPr>
      <w:r w:rsidRPr="00AA1917">
        <w:rPr>
          <w:rFonts w:cstheme="minorHAnsi"/>
        </w:rPr>
        <w:t xml:space="preserve">Yhdenvertaisuuden edistämistoimenpiteiden tarkoituksena ovat ammattikorkeakoulussa aidosti syrjimättömät menettelytavat: </w:t>
      </w:r>
    </w:p>
    <w:p w14:paraId="45441634" w14:textId="77777777" w:rsidR="00AA1917" w:rsidRPr="00AA1917" w:rsidRDefault="00AA1917" w:rsidP="00AA1917">
      <w:pPr>
        <w:pStyle w:val="NoSpacing"/>
        <w:numPr>
          <w:ilvl w:val="0"/>
          <w:numId w:val="11"/>
        </w:numPr>
        <w:rPr>
          <w:rFonts w:asciiTheme="minorHAnsi" w:hAnsiTheme="minorHAnsi" w:cstheme="minorHAnsi"/>
          <w:color w:val="000000" w:themeColor="text1"/>
          <w:sz w:val="22"/>
          <w:szCs w:val="22"/>
        </w:rPr>
      </w:pPr>
      <w:r w:rsidRPr="00AA1917">
        <w:rPr>
          <w:rFonts w:asciiTheme="minorHAnsi" w:hAnsiTheme="minorHAnsi" w:cstheme="minorHAnsi"/>
          <w:sz w:val="22"/>
          <w:szCs w:val="22"/>
        </w:rPr>
        <w:t xml:space="preserve">rekrytoinnissa </w:t>
      </w:r>
    </w:p>
    <w:p w14:paraId="6014A8F2" w14:textId="77777777" w:rsidR="00AA1917" w:rsidRPr="00AA1917" w:rsidRDefault="00AA1917" w:rsidP="00AA1917">
      <w:pPr>
        <w:pStyle w:val="NoSpacing"/>
        <w:numPr>
          <w:ilvl w:val="0"/>
          <w:numId w:val="11"/>
        </w:numPr>
        <w:rPr>
          <w:rFonts w:asciiTheme="minorHAnsi" w:hAnsiTheme="minorHAnsi" w:cstheme="minorHAnsi"/>
          <w:color w:val="000000" w:themeColor="text1"/>
          <w:sz w:val="22"/>
          <w:szCs w:val="22"/>
        </w:rPr>
      </w:pPr>
      <w:r w:rsidRPr="00AA1917">
        <w:rPr>
          <w:rFonts w:asciiTheme="minorHAnsi" w:hAnsiTheme="minorHAnsi" w:cstheme="minorHAnsi"/>
          <w:sz w:val="22"/>
          <w:szCs w:val="22"/>
        </w:rPr>
        <w:t xml:space="preserve">työtehtäviä suunniteltaessa </w:t>
      </w:r>
    </w:p>
    <w:p w14:paraId="13A246E0" w14:textId="77777777" w:rsidR="00AA1917" w:rsidRPr="00AA1917" w:rsidRDefault="00AA1917" w:rsidP="00AA1917">
      <w:pPr>
        <w:pStyle w:val="NoSpacing"/>
        <w:numPr>
          <w:ilvl w:val="0"/>
          <w:numId w:val="11"/>
        </w:numPr>
        <w:rPr>
          <w:rFonts w:asciiTheme="minorHAnsi" w:hAnsiTheme="minorHAnsi" w:cstheme="minorHAnsi"/>
          <w:color w:val="000000" w:themeColor="text1"/>
          <w:sz w:val="22"/>
          <w:szCs w:val="22"/>
        </w:rPr>
      </w:pPr>
      <w:r w:rsidRPr="00AA1917">
        <w:rPr>
          <w:rFonts w:asciiTheme="minorHAnsi" w:hAnsiTheme="minorHAnsi" w:cstheme="minorHAnsi"/>
          <w:sz w:val="22"/>
          <w:szCs w:val="22"/>
        </w:rPr>
        <w:t>opiskelijavalinnasta päätettäessä</w:t>
      </w:r>
    </w:p>
    <w:p w14:paraId="5385B59F" w14:textId="77777777" w:rsidR="00AA1917" w:rsidRPr="00AA1917" w:rsidRDefault="00AA1917" w:rsidP="00AA1917">
      <w:pPr>
        <w:pStyle w:val="NoSpacing"/>
        <w:numPr>
          <w:ilvl w:val="0"/>
          <w:numId w:val="11"/>
        </w:numPr>
        <w:rPr>
          <w:rFonts w:asciiTheme="minorHAnsi" w:hAnsiTheme="minorHAnsi" w:cstheme="minorHAnsi"/>
          <w:sz w:val="22"/>
          <w:szCs w:val="22"/>
        </w:rPr>
      </w:pPr>
      <w:r w:rsidRPr="00AA1917">
        <w:rPr>
          <w:rFonts w:asciiTheme="minorHAnsi" w:hAnsiTheme="minorHAnsi" w:cstheme="minorHAnsi"/>
          <w:sz w:val="22"/>
          <w:szCs w:val="22"/>
        </w:rPr>
        <w:t xml:space="preserve">palkasta ja työsuhteisiin liittyvistä etuuksista päätettäessä, </w:t>
      </w:r>
    </w:p>
    <w:p w14:paraId="4B958215" w14:textId="77777777" w:rsidR="00AA1917" w:rsidRPr="00AA1917" w:rsidRDefault="00AA1917" w:rsidP="00AA1917">
      <w:pPr>
        <w:pStyle w:val="NoSpacing"/>
        <w:numPr>
          <w:ilvl w:val="0"/>
          <w:numId w:val="11"/>
        </w:numPr>
        <w:rPr>
          <w:rFonts w:asciiTheme="minorHAnsi" w:hAnsiTheme="minorHAnsi" w:cstheme="minorHAnsi"/>
          <w:sz w:val="22"/>
          <w:szCs w:val="22"/>
        </w:rPr>
      </w:pPr>
      <w:r w:rsidRPr="00AA1917">
        <w:rPr>
          <w:rFonts w:asciiTheme="minorHAnsi" w:hAnsiTheme="minorHAnsi" w:cstheme="minorHAnsi"/>
          <w:sz w:val="22"/>
          <w:szCs w:val="22"/>
        </w:rPr>
        <w:t xml:space="preserve">työntekoon ja työsuhteisiin liittyviä velvollisuuksia määritettäessä sekä työyhteisön ja henkilöstön kehittämisessä. </w:t>
      </w:r>
    </w:p>
    <w:p w14:paraId="41AC39FE" w14:textId="77777777" w:rsidR="003F67B5" w:rsidRDefault="003F67B5" w:rsidP="00AA1917">
      <w:pPr>
        <w:jc w:val="both"/>
      </w:pPr>
    </w:p>
    <w:p w14:paraId="0739A15D" w14:textId="77777777" w:rsidR="003F67B5" w:rsidRDefault="003F67B5" w:rsidP="00AA1917">
      <w:pPr>
        <w:jc w:val="both"/>
      </w:pPr>
      <w:r>
        <w:lastRenderedPageBreak/>
        <w:t>Lähtö</w:t>
      </w:r>
      <w:r w:rsidR="004F65AA">
        <w:t xml:space="preserve">- </w:t>
      </w:r>
      <w:r>
        <w:t xml:space="preserve">ja </w:t>
      </w:r>
      <w:proofErr w:type="spellStart"/>
      <w:r>
        <w:t>tavoitetaso</w:t>
      </w:r>
      <w:r w:rsidR="004F65AA">
        <w:t>n</w:t>
      </w:r>
      <w:proofErr w:type="spellEnd"/>
      <w:r>
        <w:t xml:space="preserve"> tiedot</w:t>
      </w:r>
      <w:r w:rsidR="004F65AA">
        <w:t>, meneillään olevat toimenpiteet sekä suunnitellut toimenpiteet</w:t>
      </w:r>
      <w:r>
        <w:t xml:space="preserve"> löytyvät Centrian </w:t>
      </w:r>
      <w:r w:rsidR="004F65AA" w:rsidRPr="004F65AA">
        <w:rPr>
          <w:i/>
        </w:rPr>
        <w:t>T</w:t>
      </w:r>
      <w:r w:rsidRPr="004F65AA">
        <w:rPr>
          <w:i/>
        </w:rPr>
        <w:t>asa-arvo</w:t>
      </w:r>
      <w:r w:rsidR="004F65AA" w:rsidRPr="004F65AA">
        <w:rPr>
          <w:i/>
        </w:rPr>
        <w:t>- ja yhdenvertaisuus</w:t>
      </w:r>
      <w:r w:rsidRPr="004F65AA">
        <w:rPr>
          <w:i/>
        </w:rPr>
        <w:t>suunnitelma</w:t>
      </w:r>
      <w:r w:rsidR="004F65AA" w:rsidRPr="004F65AA">
        <w:rPr>
          <w:i/>
        </w:rPr>
        <w:t xml:space="preserve"> 2021-2022</w:t>
      </w:r>
      <w:r w:rsidR="004F65AA">
        <w:t xml:space="preserve"> -dokumentista</w:t>
      </w:r>
      <w:r>
        <w:t xml:space="preserve">. </w:t>
      </w:r>
      <w:r w:rsidR="004F65AA">
        <w:t xml:space="preserve">Tuossa dokumentissa on avattu laajemmin kaikki tässä asiakirjassa esitetyt asiat. </w:t>
      </w:r>
      <w:r w:rsidR="00995822">
        <w:t xml:space="preserve">Tarkemmin tasa-arvoa edistävistä toimista ja Centrian työsuhteiden henkilöstöpolitiikasta on avattu dokumentissa </w:t>
      </w:r>
      <w:r w:rsidR="00995822" w:rsidRPr="00995822">
        <w:rPr>
          <w:i/>
        </w:rPr>
        <w:t>Centrian Henkilöstö</w:t>
      </w:r>
      <w:r w:rsidR="00995822">
        <w:rPr>
          <w:i/>
        </w:rPr>
        <w:t>-</w:t>
      </w:r>
      <w:r w:rsidR="00995822" w:rsidRPr="00995822">
        <w:rPr>
          <w:i/>
        </w:rPr>
        <w:t>, koulutus- ja työhyvinvointisuunnitelma vuosille 2020-2023</w:t>
      </w:r>
      <w:r w:rsidR="00995822">
        <w:t>.</w:t>
      </w:r>
    </w:p>
    <w:p w14:paraId="48F02954" w14:textId="77777777" w:rsidR="003F67B5" w:rsidRDefault="003F67B5" w:rsidP="00AA1917">
      <w:pPr>
        <w:jc w:val="both"/>
      </w:pPr>
    </w:p>
    <w:p w14:paraId="406E4C5D" w14:textId="77777777" w:rsidR="003F67B5" w:rsidRDefault="003F67B5" w:rsidP="00AA1917">
      <w:pPr>
        <w:pStyle w:val="Heading1"/>
        <w:jc w:val="both"/>
      </w:pPr>
      <w:r>
        <w:t>Toimintaan varatut resurssit</w:t>
      </w:r>
    </w:p>
    <w:p w14:paraId="6274653F" w14:textId="77777777" w:rsidR="00FA4017" w:rsidRDefault="00FA4017" w:rsidP="00FA4017">
      <w:pPr>
        <w:jc w:val="both"/>
      </w:pPr>
      <w:r>
        <w:t>Tasa-arvoa edistävät toimenpiteet on resursoitu Centrian henkilöstöhallinnon sekä työsuojelun toimintaan. Tasa-arvo- ja yhdenvertaisuusasioista työnantajan puolesta ovat ensisijaisesti vastuussa toimitusjohtaja sekä työsuojelupäällikkö. Lisäksi tasa-arvosuunnitelman tavoitteita, toimenpiteitä ja toteutumista seurataan seuraavissa elimissä: tasa-arvoryhmä, työsuojelutoiminta sekä yhteistoimintaryhmä.</w:t>
      </w:r>
    </w:p>
    <w:p w14:paraId="265D1D72" w14:textId="77777777" w:rsidR="00FA4017" w:rsidRDefault="00FA4017" w:rsidP="00FA4017">
      <w:pPr>
        <w:jc w:val="both"/>
      </w:pPr>
      <w:r>
        <w:t xml:space="preserve">Tasa-arvo- ja yhdenvertaisuussuunnitelmaa </w:t>
      </w:r>
      <w:proofErr w:type="gramStart"/>
      <w:r>
        <w:t>päivitetään</w:t>
      </w:r>
      <w:proofErr w:type="gramEnd"/>
      <w:r>
        <w:t xml:space="preserve"> joka toinen vuosi ja sen toteutumista seurataan joka vuosi. Henkilöstötilinpäätöksen yhteydessä raportoidaan tasa-arvon toteutumisesta. Edistymistä seurataan seuraavissa elimissä: tasa-arvoryhmä, työsuojelutoiminta sekä yhteistoimintaryhmä.</w:t>
      </w:r>
    </w:p>
    <w:p w14:paraId="5D3F660B" w14:textId="77777777" w:rsidR="003F67B5" w:rsidRDefault="00AB18A8" w:rsidP="00AA1917">
      <w:pPr>
        <w:jc w:val="both"/>
      </w:pPr>
      <w:r>
        <w:t>Työaikaa</w:t>
      </w:r>
      <w:r w:rsidR="00C862CF">
        <w:t xml:space="preserve"> tasa-arvotyöryhmän jäsenelle on arvioitu kuluvan noin 5-10 työtuntia vuodessa, ja 4-6 kertaa vuodessa kokoontuvassa työsuojelutoimikunnassa tasa-arvoon liittyviä asioita käsitellään tarpeen mukaan. Centrian työsuojelupäällikölle on varattu vuosittain 200-300 työtuntia koko asiakokonaisuutensa hoitamiseen</w:t>
      </w:r>
      <w:r w:rsidR="00FA4017">
        <w:t>.</w:t>
      </w:r>
      <w:r w:rsidR="00C862CF">
        <w:t xml:space="preserve"> Henkilöstöprosessi käyttää tasa-arvoasioihin kulloisenkin tarpeen mukaan. </w:t>
      </w:r>
    </w:p>
    <w:p w14:paraId="643AA6B6" w14:textId="77777777" w:rsidR="00AB18A8" w:rsidRDefault="00AB18A8" w:rsidP="00AA1917">
      <w:pPr>
        <w:jc w:val="both"/>
      </w:pPr>
      <w:proofErr w:type="spellStart"/>
      <w:r>
        <w:t>Centriassa</w:t>
      </w:r>
      <w:proofErr w:type="spellEnd"/>
      <w:r>
        <w:t xml:space="preserve"> ymmärretään, että resurssien budjetointiin erilaisiin tehtäviin liittyy myös poliittisia ulottuvuuksia ja tämän vuoksi resurssoinnissa pyritään huomioimaan myös tasa-arvo. </w:t>
      </w:r>
    </w:p>
    <w:p w14:paraId="391A717B" w14:textId="77777777" w:rsidR="00AB18A8" w:rsidRDefault="00AB18A8" w:rsidP="00AA1917">
      <w:pPr>
        <w:jc w:val="both"/>
      </w:pPr>
    </w:p>
    <w:p w14:paraId="46803B99" w14:textId="77777777" w:rsidR="00AB18A8" w:rsidRDefault="00AB18A8" w:rsidP="00AA1917">
      <w:pPr>
        <w:pStyle w:val="Heading1"/>
        <w:jc w:val="both"/>
      </w:pPr>
      <w:r>
        <w:t>Tiedon kerääminen ja seuranta</w:t>
      </w:r>
    </w:p>
    <w:p w14:paraId="407B3419" w14:textId="77777777" w:rsidR="00AB18A8" w:rsidRDefault="00AB18A8" w:rsidP="00AA1917">
      <w:pPr>
        <w:jc w:val="both"/>
      </w:pPr>
      <w:proofErr w:type="spellStart"/>
      <w:r>
        <w:t>Centriassa</w:t>
      </w:r>
      <w:proofErr w:type="spellEnd"/>
      <w:r>
        <w:t xml:space="preserve"> tehdään vuosittain henkilöstötilinpäätös, jossa osana raportoidaan tasa-arvoon liittyvät seikat. Henkilöstötilinpäätös on myös julkinen dokumentti, joka löytyy Centrian verkkosivuilta. Tietoa kerätään Centrian</w:t>
      </w:r>
      <w:r w:rsidR="004F65AA">
        <w:t xml:space="preserve"> talous- ja henkilöstöhallinnon järjestelmistä.</w:t>
      </w:r>
    </w:p>
    <w:p w14:paraId="518A82EA" w14:textId="77777777" w:rsidR="00AB18A8" w:rsidRDefault="00AB18A8" w:rsidP="00AA1917">
      <w:pPr>
        <w:jc w:val="both"/>
      </w:pPr>
      <w:r>
        <w:t>Kerättävät ja raportoitavat tiedot ovat</w:t>
      </w:r>
      <w:r w:rsidR="00995822">
        <w:t xml:space="preserve"> mm.</w:t>
      </w:r>
      <w:r>
        <w:t xml:space="preserve">: </w:t>
      </w:r>
    </w:p>
    <w:p w14:paraId="49CD310F" w14:textId="77777777" w:rsidR="00AB18A8" w:rsidRDefault="00AB18A8" w:rsidP="00AA1917">
      <w:pPr>
        <w:pStyle w:val="ListParagraph"/>
        <w:numPr>
          <w:ilvl w:val="0"/>
          <w:numId w:val="3"/>
        </w:numPr>
        <w:jc w:val="both"/>
      </w:pPr>
      <w:r>
        <w:t>sukupuolijakaumat</w:t>
      </w:r>
    </w:p>
    <w:p w14:paraId="5FDFF56C" w14:textId="77777777" w:rsidR="00AB18A8" w:rsidRDefault="00AB18A8" w:rsidP="00AA1917">
      <w:pPr>
        <w:pStyle w:val="ListParagraph"/>
        <w:numPr>
          <w:ilvl w:val="0"/>
          <w:numId w:val="3"/>
        </w:numPr>
        <w:jc w:val="both"/>
      </w:pPr>
      <w:r>
        <w:t xml:space="preserve">henkilöstöryhmien (opetus, </w:t>
      </w:r>
      <w:proofErr w:type="spellStart"/>
      <w:r>
        <w:t>tki</w:t>
      </w:r>
      <w:proofErr w:type="spellEnd"/>
      <w:r>
        <w:t xml:space="preserve"> ja </w:t>
      </w:r>
      <w:r w:rsidR="00995822">
        <w:t>korkeakoulupalvelut</w:t>
      </w:r>
      <w:r>
        <w:t>) koko ja sukupuolijakaumat</w:t>
      </w:r>
    </w:p>
    <w:p w14:paraId="2DD71C6F" w14:textId="77777777" w:rsidR="00AB18A8" w:rsidRDefault="00AB18A8" w:rsidP="00AA1917">
      <w:pPr>
        <w:pStyle w:val="ListParagraph"/>
        <w:numPr>
          <w:ilvl w:val="0"/>
          <w:numId w:val="3"/>
        </w:numPr>
        <w:jc w:val="both"/>
      </w:pPr>
      <w:proofErr w:type="spellStart"/>
      <w:r>
        <w:t>tehtävätasot</w:t>
      </w:r>
      <w:proofErr w:type="spellEnd"/>
      <w:r>
        <w:t xml:space="preserve"> (hallitus, johto, päälliköt, työntekijät) koko ja sukupuolijakaumat</w:t>
      </w:r>
    </w:p>
    <w:p w14:paraId="306A8CE4" w14:textId="77777777" w:rsidR="00AB18A8" w:rsidRDefault="00AB18A8" w:rsidP="00AA1917">
      <w:pPr>
        <w:pStyle w:val="ListParagraph"/>
        <w:numPr>
          <w:ilvl w:val="0"/>
          <w:numId w:val="3"/>
        </w:numPr>
        <w:jc w:val="both"/>
      </w:pPr>
      <w:r>
        <w:t>kansainvälisten työntekijöiden määrä</w:t>
      </w:r>
    </w:p>
    <w:p w14:paraId="02ABD402" w14:textId="77777777" w:rsidR="00995822" w:rsidRDefault="00995822" w:rsidP="00AA1917">
      <w:pPr>
        <w:pStyle w:val="ListParagraph"/>
        <w:numPr>
          <w:ilvl w:val="0"/>
          <w:numId w:val="3"/>
        </w:numPr>
        <w:jc w:val="both"/>
      </w:pPr>
      <w:r>
        <w:t xml:space="preserve">henkilöstön </w:t>
      </w:r>
      <w:proofErr w:type="spellStart"/>
      <w:r>
        <w:t>koulutustaso</w:t>
      </w:r>
      <w:proofErr w:type="spellEnd"/>
    </w:p>
    <w:p w14:paraId="14F107A7" w14:textId="77777777" w:rsidR="004F65AA" w:rsidRDefault="004F65AA" w:rsidP="00AA1917">
      <w:pPr>
        <w:pStyle w:val="ListParagraph"/>
        <w:numPr>
          <w:ilvl w:val="0"/>
          <w:numId w:val="3"/>
        </w:numPr>
        <w:jc w:val="both"/>
      </w:pPr>
      <w:r>
        <w:t>koko- ja osa-aikaisten määrä</w:t>
      </w:r>
    </w:p>
    <w:p w14:paraId="7DBF4A9D" w14:textId="77777777" w:rsidR="00AB18A8" w:rsidRDefault="00AB18A8" w:rsidP="00AA1917">
      <w:pPr>
        <w:jc w:val="both"/>
      </w:pPr>
      <w:r>
        <w:t xml:space="preserve">Lisäksi </w:t>
      </w:r>
      <w:proofErr w:type="spellStart"/>
      <w:r>
        <w:t>Centriassa</w:t>
      </w:r>
      <w:proofErr w:type="spellEnd"/>
      <w:r>
        <w:t xml:space="preserve"> tehdään vuosittain </w:t>
      </w:r>
      <w:r w:rsidR="004F65AA">
        <w:t>henkilöstökysely</w:t>
      </w:r>
      <w:r>
        <w:t xml:space="preserve">, jonka tulokset julkaistaan intranetissä henkilöstölle ja ne raportoidaan koko henkilöstölle yhteisesti ja ne käsitellään tiimikohtaisesti. </w:t>
      </w:r>
    </w:p>
    <w:p w14:paraId="2E9E5BAD" w14:textId="77777777" w:rsidR="00AB18A8" w:rsidRPr="00AB18A8" w:rsidRDefault="00AB18A8" w:rsidP="00AA1917">
      <w:pPr>
        <w:jc w:val="both"/>
      </w:pPr>
      <w:r>
        <w:t>Henkilöstötilinpäätöksen tietoja käsitellään vuosittain seuraavissa elimissä</w:t>
      </w:r>
      <w:r w:rsidR="004F65AA">
        <w:t>: työsuojelutoiminta sekä yhteistoimintaryhmä.</w:t>
      </w:r>
    </w:p>
    <w:p w14:paraId="0C2FD265" w14:textId="77777777" w:rsidR="003F67B5" w:rsidRDefault="00AB18A8" w:rsidP="00AA1917">
      <w:pPr>
        <w:jc w:val="both"/>
      </w:pPr>
      <w:r w:rsidRPr="00AB18A8">
        <w:lastRenderedPageBreak/>
        <w:t>Centrian toiminnassa noudatetaan Plan-Do-</w:t>
      </w:r>
      <w:proofErr w:type="spellStart"/>
      <w:r w:rsidRPr="00AB18A8">
        <w:t>Check</w:t>
      </w:r>
      <w:proofErr w:type="spellEnd"/>
      <w:r w:rsidRPr="00AB18A8">
        <w:t>-Act-sykliä toimin</w:t>
      </w:r>
      <w:r>
        <w:t xml:space="preserve">nassa, joka vastaa </w:t>
      </w:r>
      <w:proofErr w:type="spellStart"/>
      <w:r>
        <w:t>GEP:n</w:t>
      </w:r>
      <w:proofErr w:type="spellEnd"/>
      <w:r>
        <w:t xml:space="preserve"> tasa-arvosuunnitelmalle asetettua mallia</w:t>
      </w:r>
      <w:r w:rsidR="004F65AA">
        <w:t>.</w:t>
      </w:r>
    </w:p>
    <w:p w14:paraId="21A7184D" w14:textId="77777777" w:rsidR="00AB18A8" w:rsidRDefault="00AB18A8" w:rsidP="00AA1917">
      <w:pPr>
        <w:jc w:val="both"/>
      </w:pPr>
    </w:p>
    <w:p w14:paraId="225C10E0" w14:textId="77777777" w:rsidR="00AB18A8" w:rsidRDefault="00AB18A8" w:rsidP="00AA1917">
      <w:pPr>
        <w:pStyle w:val="Heading1"/>
        <w:jc w:val="both"/>
      </w:pPr>
      <w:r>
        <w:t>Koulutus</w:t>
      </w:r>
    </w:p>
    <w:p w14:paraId="4A8DE2F5" w14:textId="633DBB39" w:rsidR="00B5269F" w:rsidRDefault="00B5269F" w:rsidP="00AA1917">
      <w:pPr>
        <w:jc w:val="both"/>
      </w:pPr>
      <w:r>
        <w:t xml:space="preserve">Tasa-arvokoulutus ja siitä viestiminen tapahtuvat useissa eri yhteyksissä. </w:t>
      </w:r>
      <w:r>
        <w:t xml:space="preserve">Ensimmäisen kerran ne läpikäydään perehdytyksen yhteydessä. Ne ovat myös mukana Centrian tutkimus-, kehitys- ja innovaatiotoiminnan henkilöstö- ja projektipäällikkökoulutuksia. Näitä koulutuksia järjestetään vuorovuosin Centrian </w:t>
      </w:r>
      <w:proofErr w:type="spellStart"/>
      <w:r>
        <w:t>TKI:ss</w:t>
      </w:r>
      <w:r w:rsidR="00ED3ACE">
        <w:t>a</w:t>
      </w:r>
      <w:proofErr w:type="spellEnd"/>
      <w:r w:rsidR="00ED3ACE">
        <w:t xml:space="preserve">. </w:t>
      </w:r>
      <w:r>
        <w:t xml:space="preserve">  </w:t>
      </w:r>
    </w:p>
    <w:p w14:paraId="41001F1E" w14:textId="1EAB640F" w:rsidR="0017210D" w:rsidRDefault="00AB18A8" w:rsidP="00AA1917">
      <w:pPr>
        <w:jc w:val="both"/>
      </w:pPr>
      <w:r>
        <w:t>Tasa-arvoasioiden edistämistä varten</w:t>
      </w:r>
      <w:r w:rsidR="0017210D">
        <w:t xml:space="preserve"> Centrian koko henkilöstölle järjestetään vuoden 2022 aikana koulutus</w:t>
      </w:r>
      <w:r w:rsidR="00B5269F">
        <w:t xml:space="preserve"> erityisesti</w:t>
      </w:r>
      <w:r w:rsidR="0017210D">
        <w:t xml:space="preserve"> tiedostamattomien vinoumien tunnistamiseksi. </w:t>
      </w:r>
    </w:p>
    <w:p w14:paraId="429E890F" w14:textId="77777777" w:rsidR="009B073F" w:rsidRDefault="009B073F" w:rsidP="00AA1917">
      <w:pPr>
        <w:jc w:val="both"/>
      </w:pPr>
    </w:p>
    <w:p w14:paraId="56FCDFA3" w14:textId="77777777" w:rsidR="001968D6" w:rsidRDefault="001968D6" w:rsidP="00AA1917">
      <w:pPr>
        <w:pStyle w:val="Heading1"/>
        <w:jc w:val="both"/>
      </w:pPr>
      <w:r>
        <w:t>Yksityiskohtia</w:t>
      </w:r>
    </w:p>
    <w:p w14:paraId="5EA52901" w14:textId="77777777" w:rsidR="001968D6" w:rsidRPr="001968D6" w:rsidRDefault="001968D6" w:rsidP="00AA1917">
      <w:pPr>
        <w:jc w:val="both"/>
      </w:pPr>
    </w:p>
    <w:p w14:paraId="012306B3" w14:textId="77777777" w:rsidR="001968D6" w:rsidRDefault="001968D6" w:rsidP="00AA1917">
      <w:pPr>
        <w:pStyle w:val="Heading2"/>
        <w:jc w:val="both"/>
      </w:pPr>
      <w:r>
        <w:t xml:space="preserve">Työn ja </w:t>
      </w:r>
      <w:r w:rsidR="00995822">
        <w:t>yksityis</w:t>
      </w:r>
      <w:r>
        <w:t>elämän tasapaino</w:t>
      </w:r>
    </w:p>
    <w:p w14:paraId="37C4B3C1" w14:textId="77777777" w:rsidR="004F65AA" w:rsidRDefault="004F65AA" w:rsidP="00AA1917">
      <w:pPr>
        <w:jc w:val="both"/>
      </w:pPr>
      <w:r>
        <w:t>Tasa-arvo- ja yhdenvertaisuussuunnitelmassa Centria</w:t>
      </w:r>
      <w:r w:rsidR="00995822">
        <w:t xml:space="preserve"> määritellyt tavoitteensa edistää työn ja yksityiselämän tasapainoa erityisesti työkuorman, työntehtävien helpottamisen, työajan sekä erilaisten työlomien joustavuuden suhteen. Instrumentit on käyty läpi </w:t>
      </w:r>
      <w:r w:rsidR="00995822" w:rsidRPr="00995822">
        <w:rPr>
          <w:i/>
        </w:rPr>
        <w:t>Centrian Henkilöstö</w:t>
      </w:r>
      <w:r w:rsidR="00995822">
        <w:rPr>
          <w:i/>
        </w:rPr>
        <w:t>-</w:t>
      </w:r>
      <w:r w:rsidR="00995822" w:rsidRPr="00995822">
        <w:rPr>
          <w:i/>
        </w:rPr>
        <w:t>, koulutus- ja työhyvinvointisuunnitelma vuosille 2020-2023</w:t>
      </w:r>
      <w:r w:rsidR="00995822">
        <w:t xml:space="preserve"> -dokumentissa. </w:t>
      </w:r>
    </w:p>
    <w:p w14:paraId="1030CBD5" w14:textId="77777777" w:rsidR="00DE7F8C" w:rsidRPr="004F65AA" w:rsidRDefault="00DE7F8C" w:rsidP="00AA1917">
      <w:pPr>
        <w:jc w:val="both"/>
      </w:pPr>
      <w:r w:rsidRPr="00DE7F8C">
        <w:rPr>
          <w:i/>
        </w:rPr>
        <w:t>Mahdollistamme</w:t>
      </w:r>
      <w:r>
        <w:t>:</w:t>
      </w:r>
    </w:p>
    <w:p w14:paraId="3B086BB8" w14:textId="77777777" w:rsidR="001968D6" w:rsidRDefault="00DE7F8C" w:rsidP="00AA1917">
      <w:pPr>
        <w:pStyle w:val="ListParagraph"/>
        <w:numPr>
          <w:ilvl w:val="0"/>
          <w:numId w:val="4"/>
        </w:numPr>
        <w:jc w:val="both"/>
      </w:pPr>
      <w:r>
        <w:t>v</w:t>
      </w:r>
      <w:r w:rsidR="001968D6" w:rsidRPr="001968D6">
        <w:t>anhempai</w:t>
      </w:r>
      <w:r>
        <w:t>nvapaan</w:t>
      </w:r>
      <w:r w:rsidR="00995822">
        <w:t>, opintovapaa</w:t>
      </w:r>
      <w:r>
        <w:t>n</w:t>
      </w:r>
      <w:r w:rsidR="00995822">
        <w:t>, palkattomat yksityiset vapaat, vuorotteluvapaa</w:t>
      </w:r>
      <w:r>
        <w:t>n</w:t>
      </w:r>
    </w:p>
    <w:p w14:paraId="4D19344E" w14:textId="77777777" w:rsidR="00DE7F8C" w:rsidRDefault="00DE7F8C" w:rsidP="00AA1917">
      <w:pPr>
        <w:pStyle w:val="ListParagraph"/>
        <w:numPr>
          <w:ilvl w:val="0"/>
          <w:numId w:val="4"/>
        </w:numPr>
        <w:jc w:val="both"/>
      </w:pPr>
      <w:r>
        <w:t>osasairausloman käytön</w:t>
      </w:r>
    </w:p>
    <w:p w14:paraId="5AF87298" w14:textId="77777777" w:rsidR="00995822" w:rsidRPr="001968D6" w:rsidRDefault="00DE7F8C" w:rsidP="00AA1917">
      <w:pPr>
        <w:pStyle w:val="ListParagraph"/>
        <w:numPr>
          <w:ilvl w:val="0"/>
          <w:numId w:val="4"/>
        </w:numPr>
        <w:jc w:val="both"/>
      </w:pPr>
      <w:r>
        <w:t>o</w:t>
      </w:r>
      <w:r w:rsidR="00995822">
        <w:t>sittain varhenne</w:t>
      </w:r>
      <w:r>
        <w:t>tun</w:t>
      </w:r>
      <w:r w:rsidR="00995822">
        <w:t xml:space="preserve"> vanhuuseläk</w:t>
      </w:r>
      <w:r>
        <w:t>keen</w:t>
      </w:r>
    </w:p>
    <w:p w14:paraId="08511E65" w14:textId="77777777" w:rsidR="001968D6" w:rsidRDefault="00DE7F8C" w:rsidP="00AA1917">
      <w:pPr>
        <w:pStyle w:val="ListParagraph"/>
        <w:numPr>
          <w:ilvl w:val="0"/>
          <w:numId w:val="4"/>
        </w:numPr>
        <w:jc w:val="both"/>
      </w:pPr>
      <w:r>
        <w:t>j</w:t>
      </w:r>
      <w:r w:rsidR="001968D6" w:rsidRPr="001968D6">
        <w:t>oustavat työajan järjest</w:t>
      </w:r>
      <w:r>
        <w:t xml:space="preserve">elyt </w:t>
      </w:r>
      <w:r w:rsidR="00995822">
        <w:t>(esim. lyhennetty työaika)</w:t>
      </w:r>
    </w:p>
    <w:p w14:paraId="2B07AEC2" w14:textId="77777777" w:rsidR="00DE7F8C" w:rsidRDefault="00DE7F8C" w:rsidP="00AA1917">
      <w:pPr>
        <w:pStyle w:val="ListParagraph"/>
        <w:numPr>
          <w:ilvl w:val="0"/>
          <w:numId w:val="4"/>
        </w:numPr>
        <w:jc w:val="both"/>
      </w:pPr>
      <w:r>
        <w:t xml:space="preserve">mahdollisimman vähän hankalia urakatkoksia urapolulla </w:t>
      </w:r>
    </w:p>
    <w:p w14:paraId="60C80671" w14:textId="77777777" w:rsidR="00DE7F8C" w:rsidRDefault="00DE7F8C" w:rsidP="00AA1917">
      <w:pPr>
        <w:pStyle w:val="ListParagraph"/>
        <w:numPr>
          <w:ilvl w:val="0"/>
          <w:numId w:val="4"/>
        </w:numPr>
        <w:jc w:val="both"/>
      </w:pPr>
      <w:r>
        <w:t>vakituisen työsuhteen</w:t>
      </w:r>
    </w:p>
    <w:p w14:paraId="74ABFF34" w14:textId="77777777" w:rsidR="00DE7F8C" w:rsidRPr="00DE7F8C" w:rsidRDefault="00DE7F8C" w:rsidP="00DE7F8C">
      <w:pPr>
        <w:jc w:val="both"/>
        <w:rPr>
          <w:i/>
        </w:rPr>
      </w:pPr>
      <w:r w:rsidRPr="00DE7F8C">
        <w:rPr>
          <w:i/>
        </w:rPr>
        <w:t>Tarjoamme:</w:t>
      </w:r>
    </w:p>
    <w:p w14:paraId="056A6C26" w14:textId="77777777" w:rsidR="001968D6" w:rsidRPr="001968D6" w:rsidRDefault="00DE7F8C" w:rsidP="00DE7F8C">
      <w:pPr>
        <w:pStyle w:val="ListParagraph"/>
        <w:numPr>
          <w:ilvl w:val="0"/>
          <w:numId w:val="4"/>
        </w:numPr>
        <w:jc w:val="both"/>
      </w:pPr>
      <w:r>
        <w:t>aktiivista tukea t</w:t>
      </w:r>
      <w:r w:rsidR="001968D6" w:rsidRPr="001968D6">
        <w:t>yökuorman seuraami</w:t>
      </w:r>
      <w:r>
        <w:t>seen</w:t>
      </w:r>
    </w:p>
    <w:p w14:paraId="5EC3A3D4" w14:textId="77777777" w:rsidR="001968D6" w:rsidRDefault="00DE7F8C" w:rsidP="00AA1917">
      <w:pPr>
        <w:pStyle w:val="ListParagraph"/>
        <w:numPr>
          <w:ilvl w:val="0"/>
          <w:numId w:val="4"/>
        </w:numPr>
        <w:jc w:val="both"/>
      </w:pPr>
      <w:r>
        <w:t>n</w:t>
      </w:r>
      <w:r w:rsidR="001968D6" w:rsidRPr="001968D6">
        <w:t>euvonta</w:t>
      </w:r>
      <w:r>
        <w:t>a</w:t>
      </w:r>
      <w:r w:rsidR="001968D6" w:rsidRPr="001968D6">
        <w:t xml:space="preserve"> ja tuk</w:t>
      </w:r>
      <w:r>
        <w:t>ea</w:t>
      </w:r>
      <w:r w:rsidR="001968D6" w:rsidRPr="001968D6">
        <w:t xml:space="preserve"> työn ja elämän tasapainottamiseksi</w:t>
      </w:r>
    </w:p>
    <w:p w14:paraId="1270D46F" w14:textId="77777777" w:rsidR="00DE7F8C" w:rsidRPr="001968D6" w:rsidRDefault="00DE7F8C" w:rsidP="00DE7F8C">
      <w:pPr>
        <w:pStyle w:val="ListParagraph"/>
        <w:numPr>
          <w:ilvl w:val="0"/>
          <w:numId w:val="4"/>
        </w:numPr>
        <w:jc w:val="both"/>
      </w:pPr>
      <w:r>
        <w:t>resursseja opintojen suorittamiseen työn ohessa</w:t>
      </w:r>
    </w:p>
    <w:p w14:paraId="0D9266B1" w14:textId="77777777" w:rsidR="001968D6" w:rsidRDefault="00DE7F8C" w:rsidP="00AA1917">
      <w:pPr>
        <w:pStyle w:val="ListParagraph"/>
        <w:numPr>
          <w:ilvl w:val="0"/>
          <w:numId w:val="4"/>
        </w:numPr>
        <w:jc w:val="both"/>
      </w:pPr>
      <w:proofErr w:type="spellStart"/>
      <w:r>
        <w:t>k</w:t>
      </w:r>
      <w:r w:rsidR="00995822">
        <w:t>olmikantaneuvottelut</w:t>
      </w:r>
      <w:proofErr w:type="spellEnd"/>
      <w:r>
        <w:t xml:space="preserve"> yhteistyössä työterveyshuollon kanssa</w:t>
      </w:r>
    </w:p>
    <w:p w14:paraId="447A48E7" w14:textId="77777777" w:rsidR="00995822" w:rsidRDefault="00DE7F8C" w:rsidP="00AA1917">
      <w:pPr>
        <w:pStyle w:val="ListParagraph"/>
        <w:numPr>
          <w:ilvl w:val="0"/>
          <w:numId w:val="4"/>
        </w:numPr>
        <w:jc w:val="both"/>
      </w:pPr>
      <w:r>
        <w:t>v</w:t>
      </w:r>
      <w:r w:rsidR="00995822">
        <w:t xml:space="preserve">arhaisen välittämisen ja </w:t>
      </w:r>
      <w:proofErr w:type="spellStart"/>
      <w:r w:rsidR="00995822">
        <w:t>puheeksiottamisen</w:t>
      </w:r>
      <w:proofErr w:type="spellEnd"/>
      <w:r w:rsidR="00995822">
        <w:t xml:space="preserve"> -malli</w:t>
      </w:r>
      <w:r>
        <w:t>n</w:t>
      </w:r>
    </w:p>
    <w:p w14:paraId="224B8D07" w14:textId="77777777" w:rsidR="00995822" w:rsidRPr="001968D6" w:rsidRDefault="00DE7F8C" w:rsidP="00AA1917">
      <w:pPr>
        <w:pStyle w:val="ListParagraph"/>
        <w:numPr>
          <w:ilvl w:val="0"/>
          <w:numId w:val="4"/>
        </w:numPr>
        <w:jc w:val="both"/>
      </w:pPr>
      <w:r>
        <w:t>l</w:t>
      </w:r>
      <w:r w:rsidR="00995822">
        <w:t>aaja etätyömahdollisuu</w:t>
      </w:r>
      <w:r>
        <w:t xml:space="preserve">den </w:t>
      </w:r>
    </w:p>
    <w:p w14:paraId="476E077B" w14:textId="77777777" w:rsidR="00DD0D40" w:rsidRDefault="001968D6" w:rsidP="00AA1917">
      <w:pPr>
        <w:pStyle w:val="Heading2"/>
        <w:jc w:val="both"/>
      </w:pPr>
      <w:r>
        <w:t>Tasa-arvo johtamisessa ja päätöksenteossa</w:t>
      </w:r>
    </w:p>
    <w:p w14:paraId="6321CD87" w14:textId="77777777" w:rsidR="00DD0D40" w:rsidRPr="00DE7F8C" w:rsidRDefault="00DD0D40" w:rsidP="00DE7F8C">
      <w:pPr>
        <w:spacing w:line="240" w:lineRule="auto"/>
        <w:jc w:val="both"/>
        <w:rPr>
          <w:rFonts w:cstheme="minorHAnsi"/>
        </w:rPr>
      </w:pPr>
      <w:r w:rsidRPr="00DD0D40">
        <w:rPr>
          <w:rFonts w:cstheme="minorHAnsi"/>
        </w:rPr>
        <w:t>Tasa-arvo on luonnollinen osa johtamista, jolloin tasa-arvon edistäminen näkyy Centrian toimintakulttuurissa ja käytänteissä. Ammattikorkeakoulun ylin johto (hallitus, rehtori, toimitusjohtaja) ja johtoryhmä sitoutuvat tasa-arvon edistämiseen.</w:t>
      </w:r>
      <w:r w:rsidR="00DE7F8C">
        <w:rPr>
          <w:rFonts w:cstheme="minorHAnsi"/>
        </w:rPr>
        <w:t xml:space="preserve"> </w:t>
      </w:r>
      <w:r w:rsidRPr="00DD0D40">
        <w:rPr>
          <w:rFonts w:cstheme="minorHAnsi"/>
        </w:rPr>
        <w:t xml:space="preserve">Esimiehen tehtävänä on puuttua työpaikalla esiintyvään syrjintään, sukupuoliseen häirintään ja ahdisteluun. Korkeakouluyhteisön jäseniä arvostava toimintakulttuuri tukee tasa-arvoista työyhteisöä. Johtajat ja esimiehet huolehtivat tasa-arvon ja yhdenvertaisuuden toteutumisesta henkilöstöpolitiikassa käytännön toiminnalla ja omalla esimerkillään. </w:t>
      </w:r>
      <w:r w:rsidR="00DE7F8C">
        <w:rPr>
          <w:rFonts w:cstheme="minorHAnsi"/>
        </w:rPr>
        <w:t>Centria vaalii tasa-arvoa seuraavin toimenpitein:</w:t>
      </w:r>
    </w:p>
    <w:p w14:paraId="22D697B3" w14:textId="77777777" w:rsidR="00DE7F8C" w:rsidRDefault="00DE7F8C" w:rsidP="00AA1917">
      <w:pPr>
        <w:pStyle w:val="ListParagraph"/>
        <w:numPr>
          <w:ilvl w:val="0"/>
          <w:numId w:val="5"/>
        </w:numPr>
        <w:jc w:val="both"/>
      </w:pPr>
      <w:r>
        <w:lastRenderedPageBreak/>
        <w:t>huomioi tasa-arvo- ja yhdenvertaisuussuunnitelman tavoitteet paikkojen jakautumisessa päätöksenteossa (hallitus, johtoryhmä, esihenkilöt)</w:t>
      </w:r>
    </w:p>
    <w:p w14:paraId="1D8677D6" w14:textId="77777777" w:rsidR="009E6EEF" w:rsidRDefault="009E6EEF" w:rsidP="00AA1917">
      <w:pPr>
        <w:pStyle w:val="ListParagraph"/>
        <w:numPr>
          <w:ilvl w:val="0"/>
          <w:numId w:val="5"/>
        </w:numPr>
        <w:jc w:val="both"/>
      </w:pPr>
      <w:r>
        <w:t>ottaa opiskelijat mukaan päätöksentekoon (hallitus, johtoryhmä, muut ryhmät)</w:t>
      </w:r>
    </w:p>
    <w:p w14:paraId="4AAFFCFF" w14:textId="77777777" w:rsidR="009E6EEF" w:rsidRDefault="009E6EEF" w:rsidP="00AA1917">
      <w:pPr>
        <w:pStyle w:val="ListParagraph"/>
        <w:numPr>
          <w:ilvl w:val="0"/>
          <w:numId w:val="5"/>
        </w:numPr>
        <w:jc w:val="both"/>
      </w:pPr>
      <w:r>
        <w:t>kouluttaa henkilöstöä ymmärtämään tasa-arvokysymykset ja huomioimaan mahdolliset poikkeamat</w:t>
      </w:r>
    </w:p>
    <w:p w14:paraId="5C899B93" w14:textId="77777777" w:rsidR="009E6EEF" w:rsidRDefault="009E6EEF" w:rsidP="00AA1917">
      <w:pPr>
        <w:pStyle w:val="ListParagraph"/>
        <w:numPr>
          <w:ilvl w:val="0"/>
          <w:numId w:val="5"/>
        </w:numPr>
        <w:jc w:val="both"/>
      </w:pPr>
      <w:r>
        <w:t>tulevalla strategiakaudella pyrkii erityisesti huomioimaan, että muilla kuin ei-suomenkielisellä työvoimalla on yhtäläiset mahdollisuudet saada tietoa, osallistua ja integroitua työyhteisöön</w:t>
      </w:r>
    </w:p>
    <w:p w14:paraId="2622478C" w14:textId="77777777" w:rsidR="009E6EEF" w:rsidRDefault="009E6EEF" w:rsidP="00AA1917">
      <w:pPr>
        <w:pStyle w:val="ListParagraph"/>
        <w:numPr>
          <w:ilvl w:val="0"/>
          <w:numId w:val="5"/>
        </w:numPr>
        <w:jc w:val="both"/>
      </w:pPr>
      <w:r>
        <w:t>huomioi päätöksenteossaan aina päätösten mahdolliset vaikutukset tasa-arvo ja yhdenvertaisuusasioihin</w:t>
      </w:r>
    </w:p>
    <w:p w14:paraId="0C1F83FA" w14:textId="77777777" w:rsidR="001968D6" w:rsidRDefault="001968D6" w:rsidP="00AA1917">
      <w:pPr>
        <w:jc w:val="both"/>
      </w:pPr>
    </w:p>
    <w:p w14:paraId="3016D78D" w14:textId="77777777" w:rsidR="001968D6" w:rsidRDefault="001968D6" w:rsidP="00AA1917">
      <w:pPr>
        <w:pStyle w:val="Heading2"/>
        <w:jc w:val="both"/>
      </w:pPr>
      <w:r w:rsidRPr="001968D6">
        <w:t>Tasa-arvo palkkaamisessa ja urakehityksessä</w:t>
      </w:r>
    </w:p>
    <w:p w14:paraId="77580BDE" w14:textId="77777777" w:rsidR="00AF29C5" w:rsidRPr="00AF29C5" w:rsidRDefault="00AF29C5" w:rsidP="00AA1917">
      <w:pPr>
        <w:jc w:val="both"/>
        <w:rPr>
          <w:rFonts w:cstheme="minorHAnsi"/>
        </w:rPr>
      </w:pPr>
      <w:r w:rsidRPr="00AF29C5">
        <w:rPr>
          <w:rFonts w:cstheme="minorHAnsi"/>
        </w:rPr>
        <w:t>Centria</w:t>
      </w:r>
      <w:r>
        <w:rPr>
          <w:rFonts w:cstheme="minorHAnsi"/>
        </w:rPr>
        <w:t xml:space="preserve"> </w:t>
      </w:r>
      <w:r w:rsidRPr="00AF29C5">
        <w:rPr>
          <w:rFonts w:cstheme="minorHAnsi"/>
        </w:rPr>
        <w:t>työnantajana vaikuttaa siihen, että työsopimukset ja tehtäviin liittyvät ehdot ovat tasa-arvoa ja yhdenvertaisuutta edistäviä. Ammattikorkeakoulun työntekijöiden työsuhteen ehtoihin sovelletaan Sivistystyönantaja ry:n Yksityisen opetusalan työehtosopimusta</w:t>
      </w:r>
      <w:r w:rsidRPr="00AF29C5">
        <w:rPr>
          <w:rFonts w:eastAsia="Segoe UI" w:cstheme="minorHAnsi"/>
        </w:rPr>
        <w:t xml:space="preserve">. </w:t>
      </w:r>
      <w:r w:rsidRPr="00AF29C5">
        <w:rPr>
          <w:rFonts w:cstheme="minorHAnsi"/>
        </w:rPr>
        <w:t>Paikallisella sopimisella pyritään tasa-arvon ja yhdenvertaisuuden edistämisen kannalta haitallisten vaikutusten poistamiseen.</w:t>
      </w:r>
    </w:p>
    <w:p w14:paraId="07CC4714" w14:textId="77777777" w:rsidR="00AF29C5" w:rsidRPr="00AF29C5" w:rsidRDefault="00AF29C5" w:rsidP="00AA1917">
      <w:pPr>
        <w:jc w:val="both"/>
        <w:rPr>
          <w:rFonts w:cstheme="minorHAnsi"/>
        </w:rPr>
      </w:pPr>
      <w:r w:rsidRPr="00AF29C5">
        <w:rPr>
          <w:rFonts w:cstheme="minorHAnsi"/>
        </w:rPr>
        <w:t xml:space="preserve">Tasa-arvolakiin sisältyvä samapalkkaisuusperiaate on keskeisin tasa-arvon toteutumisen edellytys. Samasta työstä ja työn keskeisiltä osilta saman sisältöisestä työstä maksetaan sama palkka. Henkilölle maksettavaan palkkaan vaikuttavat kyseisen tehtävän edellyttämät koulutus, kokemus, osaaminen ja työn vaativuus. Tämän lisäksi henkilölle voidaan maksaa hänen erityisosaamiseensa, lisäkoulutukseen tai erityistehtävään liittyvää henkilökohtaista tai tehtäväkohtaista lisää. </w:t>
      </w:r>
    </w:p>
    <w:p w14:paraId="42CF6E75" w14:textId="77777777" w:rsidR="00AF29C5" w:rsidRPr="00AF29C5" w:rsidRDefault="00AF29C5" w:rsidP="00AA1917">
      <w:pPr>
        <w:jc w:val="both"/>
        <w:rPr>
          <w:rFonts w:cstheme="minorHAnsi"/>
        </w:rPr>
      </w:pPr>
      <w:r w:rsidRPr="00AF29C5">
        <w:rPr>
          <w:rFonts w:cstheme="minorHAnsi"/>
        </w:rPr>
        <w:t>Palkkausjärjestelmiä kehitetään sukupuolten tasa-arvoa ja yhdenvertaisuutta edistäviksi siten, että työstä maksettava palkka määritellään tehtävän vaativuuden, henkilön osoittaman ammatillisen osaamisen, työmenestyksen ja työssä saavutettujen tulosten perusteella. Työntekijöiden palkan perusteet eritellään siten, että niistä selviää tehtävän mukainen palkka, osaamiseen, kokemukseen ja saavutettuihin tuloksiin liittyvä palkka. Palkan perusteet eivät saa olla sukupuolen mukaan syrjiviä. Kannustavaa palkkapolitiikkaa toteutetaan yhdenvertaisesti kaikessa toiminnassa.</w:t>
      </w:r>
    </w:p>
    <w:p w14:paraId="2ACD4E14" w14:textId="77777777" w:rsidR="00AA1917" w:rsidRDefault="00AF29C5" w:rsidP="00AA1917">
      <w:pPr>
        <w:jc w:val="both"/>
        <w:rPr>
          <w:rFonts w:cstheme="minorHAnsi"/>
        </w:rPr>
      </w:pPr>
      <w:r w:rsidRPr="00AA1917">
        <w:rPr>
          <w:rFonts w:cstheme="minorHAnsi"/>
        </w:rPr>
        <w:t xml:space="preserve">Henkilöstöpäällikkö seuraa toimivaltansa mukaisesti palkkoja ja palkkarakennetta yhteistoiminnassa työntekijöiden edustajien kanssa. Tällä edistetään samasta tai samanarvoisesta työstä maksettavien palkkojen yhdenvertaisuutta. Palkkapäätöksiä tehtäessä tulee äitiys- tai vanhempainlomalla, hoitovapaalla tai muulla työlomalla olevia kohdella samanarvoisesti työssä olevien kanssa. </w:t>
      </w:r>
    </w:p>
    <w:p w14:paraId="21392B5C" w14:textId="77777777" w:rsidR="00AF29C5" w:rsidRPr="00AA1917" w:rsidRDefault="00AF29C5" w:rsidP="00AA1917">
      <w:pPr>
        <w:jc w:val="both"/>
        <w:rPr>
          <w:rFonts w:cstheme="minorHAnsi"/>
        </w:rPr>
      </w:pPr>
      <w:r w:rsidRPr="00AA1917">
        <w:rPr>
          <w:rFonts w:cstheme="minorHAnsi"/>
        </w:rPr>
        <w:t>Erityisesti uusiksi tavoitteiksi</w:t>
      </w:r>
      <w:r w:rsidR="00AA1917">
        <w:rPr>
          <w:rFonts w:cstheme="minorHAnsi"/>
        </w:rPr>
        <w:t xml:space="preserve"> palkkauksessa ja työn sisällöissä</w:t>
      </w:r>
      <w:r w:rsidRPr="00AA1917">
        <w:rPr>
          <w:rFonts w:cstheme="minorHAnsi"/>
        </w:rPr>
        <w:t xml:space="preserve"> on otettu:</w:t>
      </w:r>
    </w:p>
    <w:p w14:paraId="294136F3" w14:textId="77777777" w:rsidR="001968D6" w:rsidRPr="001968D6" w:rsidRDefault="001968D6" w:rsidP="00AA1917">
      <w:pPr>
        <w:pStyle w:val="ListParagraph"/>
        <w:numPr>
          <w:ilvl w:val="0"/>
          <w:numId w:val="6"/>
        </w:numPr>
        <w:jc w:val="both"/>
      </w:pPr>
      <w:r w:rsidRPr="001968D6">
        <w:t xml:space="preserve">Tavoitteet ja toimenpiteet ”senior </w:t>
      </w:r>
      <w:proofErr w:type="spellStart"/>
      <w:r w:rsidRPr="001968D6">
        <w:t>leader</w:t>
      </w:r>
      <w:proofErr w:type="spellEnd"/>
      <w:r w:rsidRPr="001968D6">
        <w:t>” tasa-arvopaikoille</w:t>
      </w:r>
    </w:p>
    <w:p w14:paraId="45E5C98A" w14:textId="77777777" w:rsidR="001968D6" w:rsidRPr="001968D6" w:rsidRDefault="00AF29C5" w:rsidP="00AA1917">
      <w:pPr>
        <w:pStyle w:val="ListParagraph"/>
        <w:numPr>
          <w:ilvl w:val="0"/>
          <w:numId w:val="6"/>
        </w:numPr>
        <w:jc w:val="both"/>
      </w:pPr>
      <w:r>
        <w:t>Urapolun kautta toteutuva eteneminen uralla ja vaikutukset palkkaan</w:t>
      </w:r>
    </w:p>
    <w:p w14:paraId="1B7194FE" w14:textId="77777777" w:rsidR="001968D6" w:rsidRPr="001968D6" w:rsidRDefault="001968D6" w:rsidP="00AA1917">
      <w:pPr>
        <w:pStyle w:val="ListParagraph"/>
        <w:numPr>
          <w:ilvl w:val="0"/>
          <w:numId w:val="6"/>
        </w:numPr>
        <w:jc w:val="both"/>
      </w:pPr>
      <w:r w:rsidRPr="001968D6">
        <w:t>Arviointi- ja vertailukriteerit tutkijoiden arviointiin</w:t>
      </w:r>
    </w:p>
    <w:p w14:paraId="6F6D904A" w14:textId="77777777" w:rsidR="001968D6" w:rsidRPr="001968D6" w:rsidRDefault="001968D6" w:rsidP="00AA1917">
      <w:pPr>
        <w:pStyle w:val="ListParagraph"/>
        <w:numPr>
          <w:ilvl w:val="0"/>
          <w:numId w:val="6"/>
        </w:numPr>
        <w:jc w:val="both"/>
      </w:pPr>
      <w:r w:rsidRPr="001968D6">
        <w:t>Hallinnoinnin, ohjauksen ja arvostelun huomioonottaminen tutkijalla/opettajalla</w:t>
      </w:r>
    </w:p>
    <w:p w14:paraId="594553AD" w14:textId="77777777" w:rsidR="001968D6" w:rsidRPr="001968D6" w:rsidRDefault="001968D6" w:rsidP="00AA1917">
      <w:pPr>
        <w:pStyle w:val="ListParagraph"/>
        <w:numPr>
          <w:ilvl w:val="0"/>
          <w:numId w:val="6"/>
        </w:numPr>
        <w:jc w:val="both"/>
      </w:pPr>
      <w:r w:rsidRPr="001968D6">
        <w:t>Erilaisen työkuorman tasapuolinen jakaminen</w:t>
      </w:r>
    </w:p>
    <w:p w14:paraId="53A80A29" w14:textId="77777777" w:rsidR="001968D6" w:rsidRPr="001968D6" w:rsidRDefault="001968D6" w:rsidP="00AA1917">
      <w:pPr>
        <w:pStyle w:val="Heading2"/>
        <w:jc w:val="both"/>
      </w:pPr>
      <w:r w:rsidRPr="001968D6">
        <w:t>Tasa-arvon huomioiminen tutkimuksen ja opetuksen sisällöissä</w:t>
      </w:r>
    </w:p>
    <w:p w14:paraId="75FE4A83" w14:textId="6979CA5C" w:rsidR="00A52AAF" w:rsidRDefault="00605E43" w:rsidP="00AA1917">
      <w:pPr>
        <w:jc w:val="both"/>
        <w:rPr>
          <w:rFonts w:cstheme="minorHAnsi"/>
        </w:rPr>
      </w:pPr>
      <w:r w:rsidRPr="00605E43">
        <w:rPr>
          <w:rFonts w:cstheme="minorHAnsi"/>
        </w:rPr>
        <w:t>T</w:t>
      </w:r>
      <w:r w:rsidR="00A52AAF" w:rsidRPr="00605E43">
        <w:rPr>
          <w:rFonts w:cstheme="minorHAnsi"/>
        </w:rPr>
        <w:t>KI-toiminnassa ja palvelu</w:t>
      </w:r>
      <w:r w:rsidR="00ED3ACE">
        <w:rPr>
          <w:rFonts w:cstheme="minorHAnsi"/>
        </w:rPr>
        <w:t>liike</w:t>
      </w:r>
      <w:r w:rsidR="00A52AAF" w:rsidRPr="00605E43">
        <w:rPr>
          <w:rFonts w:cstheme="minorHAnsi"/>
        </w:rPr>
        <w:t>toiminnassa kannustetaan soveltamaan osaamista ja palveluja uusille aloille myös perinteiset nais- ja miesvaltaisuusnäkökulmat ylittäen. Ulkopuolisrahoitteisissa hankkeissa vaaditaan usein myös arviointi sukupuolinäkökulman huomioimisesta hankkeessa.</w:t>
      </w:r>
      <w:r>
        <w:rPr>
          <w:rFonts w:cstheme="minorHAnsi"/>
        </w:rPr>
        <w:t xml:space="preserve"> </w:t>
      </w:r>
      <w:r w:rsidRPr="00605E43">
        <w:rPr>
          <w:rFonts w:cstheme="minorHAnsi"/>
        </w:rPr>
        <w:t>Tavoitteena</w:t>
      </w:r>
      <w:r>
        <w:rPr>
          <w:rFonts w:cstheme="minorHAnsi"/>
        </w:rPr>
        <w:t xml:space="preserve"> </w:t>
      </w:r>
      <w:proofErr w:type="spellStart"/>
      <w:r>
        <w:rPr>
          <w:rFonts w:cstheme="minorHAnsi"/>
        </w:rPr>
        <w:t>Centriassa</w:t>
      </w:r>
      <w:proofErr w:type="spellEnd"/>
      <w:r w:rsidRPr="00605E43">
        <w:rPr>
          <w:rFonts w:cstheme="minorHAnsi"/>
        </w:rPr>
        <w:t xml:space="preserve"> on m</w:t>
      </w:r>
      <w:r w:rsidR="00A52AAF" w:rsidRPr="00605E43">
        <w:rPr>
          <w:rFonts w:cstheme="minorHAnsi"/>
        </w:rPr>
        <w:t>otivoida</w:t>
      </w:r>
      <w:r w:rsidRPr="00605E43">
        <w:rPr>
          <w:rFonts w:cstheme="minorHAnsi"/>
        </w:rPr>
        <w:t xml:space="preserve"> </w:t>
      </w:r>
      <w:r w:rsidR="00A52AAF" w:rsidRPr="00605E43">
        <w:rPr>
          <w:rFonts w:cstheme="minorHAnsi"/>
        </w:rPr>
        <w:t>toimintaan mukaan korkeakouluyhteisön jäseniä alasta riippumatta ja edistetään monimuotoisuuden toteutumista hanketoiminnassa.</w:t>
      </w:r>
    </w:p>
    <w:p w14:paraId="22BBCE3B" w14:textId="77777777" w:rsidR="00ED3ACE" w:rsidRPr="00605E43" w:rsidRDefault="00ED3ACE" w:rsidP="00AA1917">
      <w:pPr>
        <w:jc w:val="both"/>
        <w:rPr>
          <w:rFonts w:cstheme="minorHAnsi"/>
        </w:rPr>
      </w:pPr>
    </w:p>
    <w:p w14:paraId="377D6D2A" w14:textId="77777777" w:rsidR="00A52AAF" w:rsidRPr="001968D6" w:rsidRDefault="00A52AAF" w:rsidP="00AA1917">
      <w:pPr>
        <w:jc w:val="both"/>
      </w:pPr>
    </w:p>
    <w:p w14:paraId="61D1BB8C" w14:textId="3A0786C2" w:rsidR="001968D6" w:rsidRDefault="001968D6" w:rsidP="00AA1917">
      <w:pPr>
        <w:pStyle w:val="Heading2"/>
        <w:jc w:val="both"/>
      </w:pPr>
      <w:r w:rsidRPr="001968D6">
        <w:t xml:space="preserve">Syrjintä- ja häirintätapaukset </w:t>
      </w:r>
    </w:p>
    <w:p w14:paraId="4614DB27" w14:textId="77777777" w:rsidR="00AF29C5" w:rsidRPr="00AF29C5" w:rsidRDefault="00AF29C5" w:rsidP="00AA1917">
      <w:pPr>
        <w:jc w:val="both"/>
        <w:rPr>
          <w:rFonts w:cstheme="minorHAnsi"/>
        </w:rPr>
      </w:pPr>
      <w:r w:rsidRPr="00AF29C5">
        <w:rPr>
          <w:rFonts w:cstheme="minorHAnsi"/>
        </w:rPr>
        <w:t xml:space="preserve">Kaikki Centria-ammattikorkeakoulussa työskentelevät ja opiskelevat sekä myös muut toimijat ovat vastuussa siitä, että yhteisön jäsenet voivat henkilökohtaisista ominaisuuksistaan huolimatta opiskella ja työskennellä tasa-arvoisesti ja yhdenvertaisesti. </w:t>
      </w:r>
      <w:proofErr w:type="spellStart"/>
      <w:r>
        <w:rPr>
          <w:rFonts w:cstheme="minorHAnsi"/>
        </w:rPr>
        <w:t>Centriassa</w:t>
      </w:r>
      <w:proofErr w:type="spellEnd"/>
      <w:r>
        <w:rPr>
          <w:rFonts w:cstheme="minorHAnsi"/>
        </w:rPr>
        <w:t xml:space="preserve"> syrjintä- ja häirintätapausten ehkäisy, torjunta ja niihin puuttuminen kattaa kaikenlaisen syrjinnän ja häirinnän – ei pelkästään sukupuolista häirintää. </w:t>
      </w:r>
      <w:r w:rsidRPr="00AF29C5">
        <w:rPr>
          <w:rFonts w:cstheme="minorHAnsi"/>
        </w:rPr>
        <w:t>Ensisijaisesti henkilön, joka kokee syrjintää tai häirintää itse tai tunnistaa yhteisössä tällaisia tilanteita, tulee puuttua tilanteeseen keskustelemalla asianosaisten henkilöiden kanssa. Mikäli syrjintä tai häirintä jatkuu, tulee ottaa yhteys johonkin tai joihinkin seuraavista henkilöistä:</w:t>
      </w:r>
    </w:p>
    <w:p w14:paraId="29283339" w14:textId="77777777" w:rsidR="00AF29C5" w:rsidRPr="00AF29C5" w:rsidRDefault="00AF29C5" w:rsidP="00AA1917">
      <w:pPr>
        <w:pStyle w:val="ListParagraph"/>
        <w:numPr>
          <w:ilvl w:val="0"/>
          <w:numId w:val="8"/>
        </w:numPr>
        <w:spacing w:line="300" w:lineRule="auto"/>
        <w:jc w:val="both"/>
        <w:rPr>
          <w:rFonts w:eastAsiaTheme="majorEastAsia" w:cstheme="minorHAnsi"/>
          <w:color w:val="4472C4" w:themeColor="accent1"/>
        </w:rPr>
      </w:pPr>
      <w:r w:rsidRPr="00AF29C5">
        <w:rPr>
          <w:rFonts w:cstheme="minorHAnsi"/>
        </w:rPr>
        <w:t xml:space="preserve">Mikäli opiskelija tunnistaa tai kokee tulevansa syrjityksi tai häirityksi henkilökohtaiseksi kokemansa asian vuoksi, hän voi ottaa yhteyttä oman opiskelijaryhmänsä vastuuopettajaan tai opinto-ohjaajaan. Opiskelija voi olla yhteydessä myös opiskelijakunta </w:t>
      </w:r>
      <w:proofErr w:type="spellStart"/>
      <w:r w:rsidRPr="00AF29C5">
        <w:rPr>
          <w:rFonts w:cstheme="minorHAnsi"/>
        </w:rPr>
        <w:t>Copsaan</w:t>
      </w:r>
      <w:proofErr w:type="spellEnd"/>
      <w:r w:rsidRPr="00AF29C5">
        <w:rPr>
          <w:rFonts w:cstheme="minorHAnsi"/>
        </w:rPr>
        <w:t>.</w:t>
      </w:r>
    </w:p>
    <w:p w14:paraId="0641D333" w14:textId="77777777" w:rsidR="00AF29C5" w:rsidRPr="00AF29C5" w:rsidRDefault="00AF29C5" w:rsidP="00AA1917">
      <w:pPr>
        <w:pStyle w:val="ListParagraph"/>
        <w:numPr>
          <w:ilvl w:val="0"/>
          <w:numId w:val="8"/>
        </w:numPr>
        <w:spacing w:line="300" w:lineRule="auto"/>
        <w:jc w:val="both"/>
        <w:rPr>
          <w:rFonts w:eastAsiaTheme="majorEastAsia" w:cstheme="minorHAnsi"/>
          <w:color w:val="4472C4" w:themeColor="accent1"/>
        </w:rPr>
      </w:pPr>
      <w:r w:rsidRPr="00AF29C5">
        <w:rPr>
          <w:rFonts w:cstheme="minorHAnsi"/>
        </w:rPr>
        <w:t>Mikäli työntekijä tunnistaa tai kokee tulevansa syrjityksi tai häirityksi henkilökohtaiseksi kokemansa asian vuoksi, hän voi ottaa yhteyttä esimieheensä, työsuojeluvaltuutettuun tai luottamusmieheen. Tarvittaessa työterveyshuolto voidaan ottaa mukaan keskusteluun.</w:t>
      </w:r>
    </w:p>
    <w:p w14:paraId="264FF590" w14:textId="77777777" w:rsidR="00AF29C5" w:rsidRPr="00AF29C5" w:rsidRDefault="00AF29C5" w:rsidP="00AA1917">
      <w:pPr>
        <w:jc w:val="both"/>
        <w:rPr>
          <w:rFonts w:cstheme="minorHAnsi"/>
        </w:rPr>
      </w:pPr>
      <w:r w:rsidRPr="00AF29C5">
        <w:rPr>
          <w:rFonts w:cstheme="minorHAnsi"/>
        </w:rPr>
        <w:t>Työntekijöiden syrjintä- ja häirintätapauksiin liittyvät ilmoitukset käsitellään työsuojelutoimikunnassa. Toimikunnan käsittelyn ja harkinnan perusteella asian käsittely ohjataan toimivaltaisen tahon käsittelyyn. Työsuojelutoimikunta pyytää käsittelyyn lähettämistään tilanteista raportin asian selvittämisestä.</w:t>
      </w:r>
    </w:p>
    <w:p w14:paraId="648C6B54" w14:textId="77777777" w:rsidR="00AF29C5" w:rsidRPr="00AF29C5" w:rsidRDefault="00AF29C5" w:rsidP="00AA1917">
      <w:pPr>
        <w:jc w:val="both"/>
        <w:rPr>
          <w:rFonts w:eastAsia="Corbel" w:cstheme="minorHAnsi"/>
          <w:strike/>
        </w:rPr>
      </w:pPr>
      <w:r w:rsidRPr="00AF29C5">
        <w:rPr>
          <w:rFonts w:eastAsia="Corbel" w:cstheme="minorHAnsi"/>
        </w:rPr>
        <w:t>Opiskelijoiden kokemat syrjintä- ja häirintätapaukset käsitellään luottamuksellisesti opiskelijan kanssa, joko opinto-ohjaajan, tutoropettajan tai opiskelijakunnan edustajan toimesta, riippuen keneen opiskelija on ottanut yhteyttä. Häirintää tai syrjintää kokenut ohjataan tarvittaessa eteenpäin avun piiriin ja hänen suostumuksellaan asiaa voidaan käsitellä myös muiden asianomaisten kanssa. Tarvittaessa ja opiskelijan suostumuksella asia voidaan ottaa käsittelyyn myös ammattikorkeakoulun johdon kanssa.</w:t>
      </w:r>
    </w:p>
    <w:p w14:paraId="79FE636F" w14:textId="77777777" w:rsidR="00AF29C5" w:rsidRPr="00AF29C5" w:rsidRDefault="00AF29C5" w:rsidP="00AA1917">
      <w:pPr>
        <w:jc w:val="both"/>
        <w:rPr>
          <w:rFonts w:cstheme="minorHAnsi"/>
        </w:rPr>
      </w:pPr>
      <w:r w:rsidRPr="00AF29C5">
        <w:rPr>
          <w:rFonts w:cstheme="minorHAnsi"/>
        </w:rPr>
        <w:t>Yhdenvertaisuuslain noudattamista valvovat yhdenvertaisuusvaltuutettu, yhdenvertaisuus- ja tasa-arvolautakunta sekä työsuojeluviranomaiset.</w:t>
      </w:r>
    </w:p>
    <w:p w14:paraId="2F398513" w14:textId="77777777" w:rsidR="001968D6" w:rsidRDefault="001968D6" w:rsidP="00AA1917">
      <w:pPr>
        <w:jc w:val="both"/>
      </w:pPr>
    </w:p>
    <w:p w14:paraId="4CB2E52C" w14:textId="77777777" w:rsidR="001968D6" w:rsidRPr="00AB18A8" w:rsidRDefault="001968D6" w:rsidP="00AA1917">
      <w:pPr>
        <w:jc w:val="both"/>
      </w:pPr>
    </w:p>
    <w:p w14:paraId="060E9677" w14:textId="77777777" w:rsidR="001968D6" w:rsidRDefault="001968D6" w:rsidP="00AA1917">
      <w:pPr>
        <w:pStyle w:val="Heading1"/>
        <w:numPr>
          <w:ilvl w:val="0"/>
          <w:numId w:val="0"/>
        </w:numPr>
        <w:ind w:left="432" w:hanging="432"/>
        <w:jc w:val="both"/>
      </w:pPr>
      <w:r>
        <w:t>Allekirjoitukset</w:t>
      </w:r>
    </w:p>
    <w:p w14:paraId="78AEFFA9" w14:textId="77777777" w:rsidR="001968D6" w:rsidRDefault="001968D6" w:rsidP="00AA1917">
      <w:pPr>
        <w:jc w:val="both"/>
      </w:pPr>
    </w:p>
    <w:p w14:paraId="6C92EB94" w14:textId="033E1A8F" w:rsidR="001968D6" w:rsidRDefault="001968D6" w:rsidP="00AA1917">
      <w:pPr>
        <w:jc w:val="both"/>
      </w:pPr>
      <w:r>
        <w:t xml:space="preserve">Kokkolassa </w:t>
      </w:r>
      <w:r w:rsidR="00AC1B95">
        <w:t>20</w:t>
      </w:r>
      <w:r>
        <w:t>.</w:t>
      </w:r>
      <w:r w:rsidR="00AC1B95">
        <w:t>12</w:t>
      </w:r>
      <w:r>
        <w:t>.2021</w:t>
      </w:r>
    </w:p>
    <w:p w14:paraId="5B649043" w14:textId="77777777" w:rsidR="001968D6" w:rsidRDefault="001968D6" w:rsidP="00AA1917">
      <w:pPr>
        <w:jc w:val="both"/>
      </w:pPr>
    </w:p>
    <w:p w14:paraId="3BFF5227" w14:textId="77777777" w:rsidR="001968D6" w:rsidRDefault="001968D6" w:rsidP="00AA1917">
      <w:pPr>
        <w:jc w:val="both"/>
      </w:pPr>
    </w:p>
    <w:p w14:paraId="4CFF66A7" w14:textId="77777777" w:rsidR="001968D6" w:rsidRDefault="001968D6" w:rsidP="00AA1917">
      <w:pPr>
        <w:jc w:val="both"/>
      </w:pPr>
    </w:p>
    <w:p w14:paraId="7D11EF41" w14:textId="77777777" w:rsidR="001968D6" w:rsidRDefault="001968D6" w:rsidP="00AC1B95">
      <w:r>
        <w:lastRenderedPageBreak/>
        <w:t>__________________________________</w:t>
      </w:r>
      <w:r>
        <w:br/>
        <w:t xml:space="preserve">Kari Ristimäki, </w:t>
      </w:r>
      <w:bookmarkStart w:id="0" w:name="_GoBack"/>
      <w:bookmarkEnd w:id="0"/>
      <w:r>
        <w:t>Rehtori/toimitusjohtaja</w:t>
      </w:r>
      <w:r>
        <w:br/>
        <w:t>Centria-ammattikorkeakoulu</w:t>
      </w:r>
    </w:p>
    <w:p w14:paraId="3414819B" w14:textId="77777777" w:rsidR="001968D6" w:rsidRPr="001968D6" w:rsidRDefault="001968D6" w:rsidP="00AA1917">
      <w:pPr>
        <w:jc w:val="both"/>
      </w:pPr>
    </w:p>
    <w:p w14:paraId="11BCEDDB" w14:textId="77777777" w:rsidR="009B073F" w:rsidRPr="004F65AA" w:rsidRDefault="009B073F" w:rsidP="00AA1917">
      <w:pPr>
        <w:pStyle w:val="Heading1"/>
        <w:numPr>
          <w:ilvl w:val="0"/>
          <w:numId w:val="0"/>
        </w:numPr>
        <w:ind w:left="432" w:hanging="432"/>
        <w:jc w:val="both"/>
        <w:rPr>
          <w:lang w:val="en-US"/>
        </w:rPr>
      </w:pPr>
      <w:proofErr w:type="spellStart"/>
      <w:r w:rsidRPr="004F65AA">
        <w:rPr>
          <w:lang w:val="en-US"/>
        </w:rPr>
        <w:t>Lähdeluettelo</w:t>
      </w:r>
      <w:proofErr w:type="spellEnd"/>
    </w:p>
    <w:p w14:paraId="17FD962B" w14:textId="77777777" w:rsidR="009B073F" w:rsidRDefault="009B073F" w:rsidP="00AA1917">
      <w:pPr>
        <w:jc w:val="both"/>
      </w:pPr>
      <w:r w:rsidRPr="009B073F">
        <w:rPr>
          <w:lang w:val="en-US"/>
        </w:rPr>
        <w:t xml:space="preserve">Horizon Europe Guidance on Gender </w:t>
      </w:r>
      <w:proofErr w:type="spellStart"/>
      <w:r w:rsidRPr="009B073F">
        <w:rPr>
          <w:lang w:val="en-US"/>
        </w:rPr>
        <w:t>E</w:t>
      </w:r>
      <w:r>
        <w:rPr>
          <w:lang w:val="en-US"/>
        </w:rPr>
        <w:t>quility</w:t>
      </w:r>
      <w:proofErr w:type="spellEnd"/>
      <w:r>
        <w:rPr>
          <w:lang w:val="en-US"/>
        </w:rPr>
        <w:t xml:space="preserve"> Plans (GEPs). </w:t>
      </w:r>
      <w:r w:rsidRPr="009B073F">
        <w:t xml:space="preserve">2021. European </w:t>
      </w:r>
      <w:proofErr w:type="spellStart"/>
      <w:r w:rsidRPr="009B073F">
        <w:t>Comission</w:t>
      </w:r>
      <w:proofErr w:type="spellEnd"/>
      <w:r w:rsidRPr="009B073F">
        <w:t xml:space="preserve">. Saatavilla: </w:t>
      </w:r>
      <w:hyperlink r:id="rId6" w:history="1">
        <w:r w:rsidRPr="00C17562">
          <w:rPr>
            <w:rStyle w:val="Hyperlink"/>
          </w:rPr>
          <w:t>https://op.europa.eu/en/publication-detail/-/publication/ffcb06c3-200a-11ec-bd8e-01aa75ed71a1/language-en/format-PDF/source-232129669</w:t>
        </w:r>
      </w:hyperlink>
      <w:r>
        <w:t xml:space="preserve"> </w:t>
      </w:r>
    </w:p>
    <w:sectPr w:rsidR="009B0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6FC"/>
    <w:multiLevelType w:val="hybridMultilevel"/>
    <w:tmpl w:val="847AB092"/>
    <w:lvl w:ilvl="0" w:tplc="B658BD14">
      <w:start w:val="4"/>
      <w:numFmt w:val="bullet"/>
      <w:lvlText w:val="-"/>
      <w:lvlJc w:val="left"/>
      <w:pPr>
        <w:ind w:left="720" w:hanging="360"/>
      </w:pPr>
      <w:rPr>
        <w:rFonts w:ascii="Segoe UI" w:eastAsiaTheme="minorEastAsia" w:hAnsi="Segoe UI" w:cs="Segoe UI" w:hint="default"/>
        <w:color w:val="auto"/>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ED65BA"/>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32F591D"/>
    <w:multiLevelType w:val="hybridMultilevel"/>
    <w:tmpl w:val="19C87CE2"/>
    <w:lvl w:ilvl="0" w:tplc="B658BD14">
      <w:start w:val="4"/>
      <w:numFmt w:val="bullet"/>
      <w:lvlText w:val="-"/>
      <w:lvlJc w:val="left"/>
      <w:pPr>
        <w:ind w:left="720" w:hanging="360"/>
      </w:pPr>
      <w:rPr>
        <w:rFonts w:ascii="Segoe UI" w:eastAsiaTheme="minorEastAsia" w:hAnsi="Segoe UI" w:cs="Segoe UI" w:hint="default"/>
        <w:color w:val="auto"/>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AE579A"/>
    <w:multiLevelType w:val="hybridMultilevel"/>
    <w:tmpl w:val="F55A097E"/>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6D333B"/>
    <w:multiLevelType w:val="hybridMultilevel"/>
    <w:tmpl w:val="4AC01FEC"/>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5A19BD"/>
    <w:multiLevelType w:val="hybridMultilevel"/>
    <w:tmpl w:val="AD8EC14C"/>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CA0083"/>
    <w:multiLevelType w:val="hybridMultilevel"/>
    <w:tmpl w:val="A1D88496"/>
    <w:lvl w:ilvl="0" w:tplc="A89050E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F71E81"/>
    <w:multiLevelType w:val="hybridMultilevel"/>
    <w:tmpl w:val="0398411E"/>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E44390"/>
    <w:multiLevelType w:val="hybridMultilevel"/>
    <w:tmpl w:val="7CC645E4"/>
    <w:lvl w:ilvl="0" w:tplc="B658BD14">
      <w:start w:val="4"/>
      <w:numFmt w:val="bullet"/>
      <w:lvlText w:val="-"/>
      <w:lvlJc w:val="left"/>
      <w:pPr>
        <w:ind w:left="720" w:hanging="360"/>
      </w:pPr>
      <w:rPr>
        <w:rFonts w:ascii="Segoe UI" w:eastAsiaTheme="minorEastAsia" w:hAnsi="Segoe UI" w:cs="Segoe UI" w:hint="default"/>
        <w:color w:val="auto"/>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627816"/>
    <w:multiLevelType w:val="hybridMultilevel"/>
    <w:tmpl w:val="5B7AF330"/>
    <w:lvl w:ilvl="0" w:tplc="02CCAB2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6310C28"/>
    <w:multiLevelType w:val="hybridMultilevel"/>
    <w:tmpl w:val="2B42D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4"/>
  </w:num>
  <w:num w:numId="6">
    <w:abstractNumId w:val="3"/>
  </w:num>
  <w:num w:numId="7">
    <w:abstractNumId w:val="7"/>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C5"/>
    <w:rsid w:val="0000005A"/>
    <w:rsid w:val="00004BCB"/>
    <w:rsid w:val="000050C5"/>
    <w:rsid w:val="0001591C"/>
    <w:rsid w:val="00015AF8"/>
    <w:rsid w:val="000410CC"/>
    <w:rsid w:val="0004241E"/>
    <w:rsid w:val="0005151E"/>
    <w:rsid w:val="00062CE6"/>
    <w:rsid w:val="000669B6"/>
    <w:rsid w:val="00070D6B"/>
    <w:rsid w:val="00073BE2"/>
    <w:rsid w:val="000761BB"/>
    <w:rsid w:val="00080EB2"/>
    <w:rsid w:val="000848CA"/>
    <w:rsid w:val="00086BA2"/>
    <w:rsid w:val="000919F4"/>
    <w:rsid w:val="00095F6D"/>
    <w:rsid w:val="000972F9"/>
    <w:rsid w:val="000B4F44"/>
    <w:rsid w:val="000C6641"/>
    <w:rsid w:val="000D720A"/>
    <w:rsid w:val="000E15C0"/>
    <w:rsid w:val="000E1AB7"/>
    <w:rsid w:val="000E278A"/>
    <w:rsid w:val="000E54B5"/>
    <w:rsid w:val="00103133"/>
    <w:rsid w:val="00107FEA"/>
    <w:rsid w:val="001120A5"/>
    <w:rsid w:val="001144C3"/>
    <w:rsid w:val="00115A74"/>
    <w:rsid w:val="00123B5C"/>
    <w:rsid w:val="00123FCD"/>
    <w:rsid w:val="00131047"/>
    <w:rsid w:val="00132F36"/>
    <w:rsid w:val="001354A0"/>
    <w:rsid w:val="0013582F"/>
    <w:rsid w:val="00136AFA"/>
    <w:rsid w:val="001408D1"/>
    <w:rsid w:val="00144B09"/>
    <w:rsid w:val="00147DD5"/>
    <w:rsid w:val="00147F66"/>
    <w:rsid w:val="001549F5"/>
    <w:rsid w:val="00165095"/>
    <w:rsid w:val="001650E6"/>
    <w:rsid w:val="0017210D"/>
    <w:rsid w:val="00176ECF"/>
    <w:rsid w:val="00191ABE"/>
    <w:rsid w:val="001968D6"/>
    <w:rsid w:val="001968E0"/>
    <w:rsid w:val="001A2599"/>
    <w:rsid w:val="001A371B"/>
    <w:rsid w:val="001A5738"/>
    <w:rsid w:val="001B016C"/>
    <w:rsid w:val="001C5760"/>
    <w:rsid w:val="001D0442"/>
    <w:rsid w:val="001E0386"/>
    <w:rsid w:val="001E0444"/>
    <w:rsid w:val="001E0457"/>
    <w:rsid w:val="001F1596"/>
    <w:rsid w:val="001F5B1C"/>
    <w:rsid w:val="001F7745"/>
    <w:rsid w:val="00206040"/>
    <w:rsid w:val="00214158"/>
    <w:rsid w:val="00221CC1"/>
    <w:rsid w:val="00226017"/>
    <w:rsid w:val="00235C9D"/>
    <w:rsid w:val="00240ADA"/>
    <w:rsid w:val="002578FB"/>
    <w:rsid w:val="00260C2D"/>
    <w:rsid w:val="00273EC5"/>
    <w:rsid w:val="0027416E"/>
    <w:rsid w:val="00282A65"/>
    <w:rsid w:val="0028397F"/>
    <w:rsid w:val="00283B62"/>
    <w:rsid w:val="00285D97"/>
    <w:rsid w:val="00285F74"/>
    <w:rsid w:val="002943A4"/>
    <w:rsid w:val="00296AD0"/>
    <w:rsid w:val="002A4E63"/>
    <w:rsid w:val="002B1956"/>
    <w:rsid w:val="002C0ECC"/>
    <w:rsid w:val="002C3425"/>
    <w:rsid w:val="002C4C20"/>
    <w:rsid w:val="002C5580"/>
    <w:rsid w:val="002D4131"/>
    <w:rsid w:val="002D4896"/>
    <w:rsid w:val="002D5270"/>
    <w:rsid w:val="002E43EA"/>
    <w:rsid w:val="002E652C"/>
    <w:rsid w:val="002F34FF"/>
    <w:rsid w:val="00305C34"/>
    <w:rsid w:val="00307D81"/>
    <w:rsid w:val="0031011E"/>
    <w:rsid w:val="00324C8A"/>
    <w:rsid w:val="00326F55"/>
    <w:rsid w:val="00334F62"/>
    <w:rsid w:val="00335E8D"/>
    <w:rsid w:val="0033652E"/>
    <w:rsid w:val="003408DA"/>
    <w:rsid w:val="00341BE0"/>
    <w:rsid w:val="00342F5A"/>
    <w:rsid w:val="00345C5F"/>
    <w:rsid w:val="00356DDF"/>
    <w:rsid w:val="00363B3A"/>
    <w:rsid w:val="00375CF9"/>
    <w:rsid w:val="0037743B"/>
    <w:rsid w:val="003949EC"/>
    <w:rsid w:val="003950A1"/>
    <w:rsid w:val="00396EE5"/>
    <w:rsid w:val="003975D2"/>
    <w:rsid w:val="003A2FDE"/>
    <w:rsid w:val="003B175F"/>
    <w:rsid w:val="003B3A10"/>
    <w:rsid w:val="003B5900"/>
    <w:rsid w:val="003B6A94"/>
    <w:rsid w:val="003C6622"/>
    <w:rsid w:val="003C766E"/>
    <w:rsid w:val="003D2163"/>
    <w:rsid w:val="003D3328"/>
    <w:rsid w:val="003E09AB"/>
    <w:rsid w:val="003E363C"/>
    <w:rsid w:val="003E6040"/>
    <w:rsid w:val="003F0888"/>
    <w:rsid w:val="003F67B5"/>
    <w:rsid w:val="00403BB0"/>
    <w:rsid w:val="00411440"/>
    <w:rsid w:val="00420BB3"/>
    <w:rsid w:val="004270FD"/>
    <w:rsid w:val="0042710C"/>
    <w:rsid w:val="0043060C"/>
    <w:rsid w:val="00432B2D"/>
    <w:rsid w:val="00436B7E"/>
    <w:rsid w:val="004500CC"/>
    <w:rsid w:val="00454BC5"/>
    <w:rsid w:val="00455CA8"/>
    <w:rsid w:val="00456FBA"/>
    <w:rsid w:val="004635CE"/>
    <w:rsid w:val="0046540F"/>
    <w:rsid w:val="004701E2"/>
    <w:rsid w:val="00476490"/>
    <w:rsid w:val="004824D1"/>
    <w:rsid w:val="00483054"/>
    <w:rsid w:val="00495B3B"/>
    <w:rsid w:val="004A44E0"/>
    <w:rsid w:val="004B74BC"/>
    <w:rsid w:val="004C0373"/>
    <w:rsid w:val="004C609A"/>
    <w:rsid w:val="004D57FA"/>
    <w:rsid w:val="004E0E48"/>
    <w:rsid w:val="004E1631"/>
    <w:rsid w:val="004E1697"/>
    <w:rsid w:val="004E7C4E"/>
    <w:rsid w:val="004F228F"/>
    <w:rsid w:val="004F65AA"/>
    <w:rsid w:val="004F6FC5"/>
    <w:rsid w:val="005011AE"/>
    <w:rsid w:val="00505381"/>
    <w:rsid w:val="00513C33"/>
    <w:rsid w:val="00517838"/>
    <w:rsid w:val="005207A9"/>
    <w:rsid w:val="00520F28"/>
    <w:rsid w:val="005251BA"/>
    <w:rsid w:val="00530164"/>
    <w:rsid w:val="0053130F"/>
    <w:rsid w:val="00535910"/>
    <w:rsid w:val="0054540F"/>
    <w:rsid w:val="00550F98"/>
    <w:rsid w:val="0056529E"/>
    <w:rsid w:val="00567212"/>
    <w:rsid w:val="005727DD"/>
    <w:rsid w:val="00576451"/>
    <w:rsid w:val="005834FB"/>
    <w:rsid w:val="00587575"/>
    <w:rsid w:val="005A41C7"/>
    <w:rsid w:val="005C2F49"/>
    <w:rsid w:val="005D37E2"/>
    <w:rsid w:val="005D56DB"/>
    <w:rsid w:val="005E670E"/>
    <w:rsid w:val="005E7E8D"/>
    <w:rsid w:val="005F29B1"/>
    <w:rsid w:val="005F3827"/>
    <w:rsid w:val="00601344"/>
    <w:rsid w:val="00605E43"/>
    <w:rsid w:val="006269D6"/>
    <w:rsid w:val="0062721C"/>
    <w:rsid w:val="0064179C"/>
    <w:rsid w:val="00646519"/>
    <w:rsid w:val="006500F9"/>
    <w:rsid w:val="006529A8"/>
    <w:rsid w:val="0065329C"/>
    <w:rsid w:val="006532D8"/>
    <w:rsid w:val="00654EA9"/>
    <w:rsid w:val="00655F8F"/>
    <w:rsid w:val="00656A0E"/>
    <w:rsid w:val="0066089E"/>
    <w:rsid w:val="00661947"/>
    <w:rsid w:val="006641D5"/>
    <w:rsid w:val="00670230"/>
    <w:rsid w:val="00693E54"/>
    <w:rsid w:val="00694610"/>
    <w:rsid w:val="006A2F2D"/>
    <w:rsid w:val="006A52B1"/>
    <w:rsid w:val="006A5469"/>
    <w:rsid w:val="006A7072"/>
    <w:rsid w:val="006B19B0"/>
    <w:rsid w:val="006B6ECF"/>
    <w:rsid w:val="006C2D1E"/>
    <w:rsid w:val="006C3D69"/>
    <w:rsid w:val="006D1541"/>
    <w:rsid w:val="006E2AC7"/>
    <w:rsid w:val="006E526A"/>
    <w:rsid w:val="006E6902"/>
    <w:rsid w:val="006F16EE"/>
    <w:rsid w:val="00703A72"/>
    <w:rsid w:val="007143C1"/>
    <w:rsid w:val="00715283"/>
    <w:rsid w:val="00715C0A"/>
    <w:rsid w:val="00716E26"/>
    <w:rsid w:val="00717103"/>
    <w:rsid w:val="007201EC"/>
    <w:rsid w:val="0072335E"/>
    <w:rsid w:val="00733A10"/>
    <w:rsid w:val="007342DD"/>
    <w:rsid w:val="00734FF6"/>
    <w:rsid w:val="0074068A"/>
    <w:rsid w:val="007423E8"/>
    <w:rsid w:val="00746ECA"/>
    <w:rsid w:val="007519AF"/>
    <w:rsid w:val="00751C65"/>
    <w:rsid w:val="007568B9"/>
    <w:rsid w:val="00756979"/>
    <w:rsid w:val="007620FA"/>
    <w:rsid w:val="0076466A"/>
    <w:rsid w:val="00765802"/>
    <w:rsid w:val="00766E11"/>
    <w:rsid w:val="007803B3"/>
    <w:rsid w:val="00784D01"/>
    <w:rsid w:val="00790016"/>
    <w:rsid w:val="00793B85"/>
    <w:rsid w:val="00795898"/>
    <w:rsid w:val="007972E0"/>
    <w:rsid w:val="00797D00"/>
    <w:rsid w:val="007A4EDC"/>
    <w:rsid w:val="007A7005"/>
    <w:rsid w:val="007B4822"/>
    <w:rsid w:val="007D0DBA"/>
    <w:rsid w:val="007D1D72"/>
    <w:rsid w:val="007D3F7C"/>
    <w:rsid w:val="007D46D1"/>
    <w:rsid w:val="007E5A3B"/>
    <w:rsid w:val="007F03DC"/>
    <w:rsid w:val="007F2781"/>
    <w:rsid w:val="007F2DB3"/>
    <w:rsid w:val="00800DBE"/>
    <w:rsid w:val="00810EA5"/>
    <w:rsid w:val="00812758"/>
    <w:rsid w:val="00814C56"/>
    <w:rsid w:val="00815CA3"/>
    <w:rsid w:val="00822995"/>
    <w:rsid w:val="008254C0"/>
    <w:rsid w:val="00825979"/>
    <w:rsid w:val="0082703F"/>
    <w:rsid w:val="00827BDB"/>
    <w:rsid w:val="0083239A"/>
    <w:rsid w:val="00832BDC"/>
    <w:rsid w:val="00841FB0"/>
    <w:rsid w:val="00846660"/>
    <w:rsid w:val="0085198D"/>
    <w:rsid w:val="00854FC8"/>
    <w:rsid w:val="00881B7C"/>
    <w:rsid w:val="00881E37"/>
    <w:rsid w:val="00884D8C"/>
    <w:rsid w:val="00887FF4"/>
    <w:rsid w:val="008A3F8C"/>
    <w:rsid w:val="008B497E"/>
    <w:rsid w:val="008C59DE"/>
    <w:rsid w:val="008D3438"/>
    <w:rsid w:val="008E43FB"/>
    <w:rsid w:val="008F0FD9"/>
    <w:rsid w:val="008F1294"/>
    <w:rsid w:val="008F2A14"/>
    <w:rsid w:val="008F472B"/>
    <w:rsid w:val="008F4B3C"/>
    <w:rsid w:val="009044FF"/>
    <w:rsid w:val="0090600D"/>
    <w:rsid w:val="00907E4A"/>
    <w:rsid w:val="009124FF"/>
    <w:rsid w:val="009168FB"/>
    <w:rsid w:val="009259F9"/>
    <w:rsid w:val="00927360"/>
    <w:rsid w:val="009341A9"/>
    <w:rsid w:val="0093435C"/>
    <w:rsid w:val="00935738"/>
    <w:rsid w:val="00936D1D"/>
    <w:rsid w:val="00937304"/>
    <w:rsid w:val="009405C0"/>
    <w:rsid w:val="009611A7"/>
    <w:rsid w:val="00961E03"/>
    <w:rsid w:val="009715A6"/>
    <w:rsid w:val="00971838"/>
    <w:rsid w:val="009740CA"/>
    <w:rsid w:val="00985254"/>
    <w:rsid w:val="00986A89"/>
    <w:rsid w:val="0099112C"/>
    <w:rsid w:val="00995822"/>
    <w:rsid w:val="00995E45"/>
    <w:rsid w:val="009A34B8"/>
    <w:rsid w:val="009A482F"/>
    <w:rsid w:val="009A6246"/>
    <w:rsid w:val="009B073F"/>
    <w:rsid w:val="009B0AA3"/>
    <w:rsid w:val="009B29B7"/>
    <w:rsid w:val="009B62A8"/>
    <w:rsid w:val="009B7C17"/>
    <w:rsid w:val="009B7C68"/>
    <w:rsid w:val="009C5DD5"/>
    <w:rsid w:val="009C6CBC"/>
    <w:rsid w:val="009C757D"/>
    <w:rsid w:val="009D1E9B"/>
    <w:rsid w:val="009E0BEB"/>
    <w:rsid w:val="009E4529"/>
    <w:rsid w:val="009E6EEF"/>
    <w:rsid w:val="009F5E22"/>
    <w:rsid w:val="009F79C1"/>
    <w:rsid w:val="00A126F1"/>
    <w:rsid w:val="00A17881"/>
    <w:rsid w:val="00A21D13"/>
    <w:rsid w:val="00A22104"/>
    <w:rsid w:val="00A2529E"/>
    <w:rsid w:val="00A31A88"/>
    <w:rsid w:val="00A332CE"/>
    <w:rsid w:val="00A34054"/>
    <w:rsid w:val="00A45933"/>
    <w:rsid w:val="00A52AAF"/>
    <w:rsid w:val="00A544F5"/>
    <w:rsid w:val="00A5486F"/>
    <w:rsid w:val="00A61FF4"/>
    <w:rsid w:val="00A646A2"/>
    <w:rsid w:val="00A7324C"/>
    <w:rsid w:val="00A761A3"/>
    <w:rsid w:val="00A823FC"/>
    <w:rsid w:val="00A8362F"/>
    <w:rsid w:val="00A84BA8"/>
    <w:rsid w:val="00A87417"/>
    <w:rsid w:val="00A9400C"/>
    <w:rsid w:val="00A94731"/>
    <w:rsid w:val="00A9607E"/>
    <w:rsid w:val="00AA07D2"/>
    <w:rsid w:val="00AA1917"/>
    <w:rsid w:val="00AB18A8"/>
    <w:rsid w:val="00AC1B95"/>
    <w:rsid w:val="00AC2856"/>
    <w:rsid w:val="00AC59DF"/>
    <w:rsid w:val="00AD23E7"/>
    <w:rsid w:val="00AD2691"/>
    <w:rsid w:val="00AF172E"/>
    <w:rsid w:val="00AF29C5"/>
    <w:rsid w:val="00AF46D9"/>
    <w:rsid w:val="00B0208A"/>
    <w:rsid w:val="00B12CBC"/>
    <w:rsid w:val="00B2007B"/>
    <w:rsid w:val="00B22248"/>
    <w:rsid w:val="00B24ABE"/>
    <w:rsid w:val="00B31ACD"/>
    <w:rsid w:val="00B3273B"/>
    <w:rsid w:val="00B42F9B"/>
    <w:rsid w:val="00B44258"/>
    <w:rsid w:val="00B44FBB"/>
    <w:rsid w:val="00B454EC"/>
    <w:rsid w:val="00B46212"/>
    <w:rsid w:val="00B5269F"/>
    <w:rsid w:val="00B57EDF"/>
    <w:rsid w:val="00B61D76"/>
    <w:rsid w:val="00B63331"/>
    <w:rsid w:val="00B65378"/>
    <w:rsid w:val="00B66680"/>
    <w:rsid w:val="00B713E0"/>
    <w:rsid w:val="00B722F8"/>
    <w:rsid w:val="00B72D58"/>
    <w:rsid w:val="00B80A54"/>
    <w:rsid w:val="00B81B8F"/>
    <w:rsid w:val="00B830D0"/>
    <w:rsid w:val="00B842BA"/>
    <w:rsid w:val="00B85778"/>
    <w:rsid w:val="00BA1F50"/>
    <w:rsid w:val="00BA203B"/>
    <w:rsid w:val="00BA522B"/>
    <w:rsid w:val="00BA7E78"/>
    <w:rsid w:val="00BB0541"/>
    <w:rsid w:val="00BB5779"/>
    <w:rsid w:val="00BB756F"/>
    <w:rsid w:val="00BB7F0E"/>
    <w:rsid w:val="00BD0333"/>
    <w:rsid w:val="00BD1504"/>
    <w:rsid w:val="00BE0958"/>
    <w:rsid w:val="00BE1098"/>
    <w:rsid w:val="00BE6515"/>
    <w:rsid w:val="00BE75C6"/>
    <w:rsid w:val="00BF7EF6"/>
    <w:rsid w:val="00C03C14"/>
    <w:rsid w:val="00C03C7C"/>
    <w:rsid w:val="00C05244"/>
    <w:rsid w:val="00C1796B"/>
    <w:rsid w:val="00C26F12"/>
    <w:rsid w:val="00C35478"/>
    <w:rsid w:val="00C357AE"/>
    <w:rsid w:val="00C37D9F"/>
    <w:rsid w:val="00C4481F"/>
    <w:rsid w:val="00C55202"/>
    <w:rsid w:val="00C61815"/>
    <w:rsid w:val="00C64A3F"/>
    <w:rsid w:val="00C64F06"/>
    <w:rsid w:val="00C7170C"/>
    <w:rsid w:val="00C81829"/>
    <w:rsid w:val="00C8383A"/>
    <w:rsid w:val="00C862CF"/>
    <w:rsid w:val="00C86E7D"/>
    <w:rsid w:val="00CA3D16"/>
    <w:rsid w:val="00CA6B91"/>
    <w:rsid w:val="00CB01F0"/>
    <w:rsid w:val="00CB2929"/>
    <w:rsid w:val="00CB791A"/>
    <w:rsid w:val="00CE4C01"/>
    <w:rsid w:val="00CF762A"/>
    <w:rsid w:val="00D06057"/>
    <w:rsid w:val="00D16A27"/>
    <w:rsid w:val="00D30994"/>
    <w:rsid w:val="00D311B0"/>
    <w:rsid w:val="00D340D7"/>
    <w:rsid w:val="00D34B60"/>
    <w:rsid w:val="00D3736E"/>
    <w:rsid w:val="00D43CBA"/>
    <w:rsid w:val="00D4553F"/>
    <w:rsid w:val="00D608D4"/>
    <w:rsid w:val="00D61632"/>
    <w:rsid w:val="00D74F0A"/>
    <w:rsid w:val="00D848D7"/>
    <w:rsid w:val="00D87382"/>
    <w:rsid w:val="00D92E0F"/>
    <w:rsid w:val="00D954C9"/>
    <w:rsid w:val="00D95BA8"/>
    <w:rsid w:val="00DA1CBA"/>
    <w:rsid w:val="00DA2A2F"/>
    <w:rsid w:val="00DA2CBE"/>
    <w:rsid w:val="00DA2E57"/>
    <w:rsid w:val="00DB5156"/>
    <w:rsid w:val="00DD0D40"/>
    <w:rsid w:val="00DD1980"/>
    <w:rsid w:val="00DE7F8C"/>
    <w:rsid w:val="00E00D52"/>
    <w:rsid w:val="00E03982"/>
    <w:rsid w:val="00E10E67"/>
    <w:rsid w:val="00E11C0F"/>
    <w:rsid w:val="00E15267"/>
    <w:rsid w:val="00E17253"/>
    <w:rsid w:val="00E55733"/>
    <w:rsid w:val="00E573A0"/>
    <w:rsid w:val="00E60614"/>
    <w:rsid w:val="00E7029B"/>
    <w:rsid w:val="00E703CA"/>
    <w:rsid w:val="00E70D3F"/>
    <w:rsid w:val="00E715CF"/>
    <w:rsid w:val="00E80D15"/>
    <w:rsid w:val="00E9122E"/>
    <w:rsid w:val="00E94E73"/>
    <w:rsid w:val="00E97EAE"/>
    <w:rsid w:val="00EA3CDE"/>
    <w:rsid w:val="00EB25BD"/>
    <w:rsid w:val="00EC2CAF"/>
    <w:rsid w:val="00ED1925"/>
    <w:rsid w:val="00ED3ACE"/>
    <w:rsid w:val="00ED4F8B"/>
    <w:rsid w:val="00ED53EE"/>
    <w:rsid w:val="00ED65FD"/>
    <w:rsid w:val="00EE1BEF"/>
    <w:rsid w:val="00EE3522"/>
    <w:rsid w:val="00EE4937"/>
    <w:rsid w:val="00F070C4"/>
    <w:rsid w:val="00F10EA9"/>
    <w:rsid w:val="00F11EE7"/>
    <w:rsid w:val="00F13E8E"/>
    <w:rsid w:val="00F147AA"/>
    <w:rsid w:val="00F15244"/>
    <w:rsid w:val="00F16D64"/>
    <w:rsid w:val="00F1737B"/>
    <w:rsid w:val="00F1758E"/>
    <w:rsid w:val="00F440DC"/>
    <w:rsid w:val="00F45E46"/>
    <w:rsid w:val="00F60780"/>
    <w:rsid w:val="00F6346F"/>
    <w:rsid w:val="00F7641A"/>
    <w:rsid w:val="00F82444"/>
    <w:rsid w:val="00F93A17"/>
    <w:rsid w:val="00F95ED5"/>
    <w:rsid w:val="00FA4017"/>
    <w:rsid w:val="00FA5B73"/>
    <w:rsid w:val="00FB7458"/>
    <w:rsid w:val="00FC251A"/>
    <w:rsid w:val="00FC575A"/>
    <w:rsid w:val="00FC5834"/>
    <w:rsid w:val="00FD6210"/>
    <w:rsid w:val="00FE2A29"/>
    <w:rsid w:val="00FE6D41"/>
    <w:rsid w:val="00FF6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282E"/>
  <w15:chartTrackingRefBased/>
  <w15:docId w15:val="{97DFD9F0-F37C-49AF-AFE0-B8CDE77F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0C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073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073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073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073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073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073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073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73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0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0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50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07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07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B073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B07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07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07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07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7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B073F"/>
    <w:rPr>
      <w:color w:val="0563C1" w:themeColor="hyperlink"/>
      <w:u w:val="single"/>
    </w:rPr>
  </w:style>
  <w:style w:type="character" w:styleId="UnresolvedMention">
    <w:name w:val="Unresolved Mention"/>
    <w:basedOn w:val="DefaultParagraphFont"/>
    <w:uiPriority w:val="99"/>
    <w:semiHidden/>
    <w:unhideWhenUsed/>
    <w:rsid w:val="009B073F"/>
    <w:rPr>
      <w:color w:val="605E5C"/>
      <w:shd w:val="clear" w:color="auto" w:fill="E1DFDD"/>
    </w:rPr>
  </w:style>
  <w:style w:type="paragraph" w:styleId="ListParagraph">
    <w:name w:val="List Paragraph"/>
    <w:basedOn w:val="Normal"/>
    <w:uiPriority w:val="34"/>
    <w:qFormat/>
    <w:rsid w:val="00AB18A8"/>
    <w:pPr>
      <w:ind w:left="720"/>
      <w:contextualSpacing/>
    </w:pPr>
  </w:style>
  <w:style w:type="paragraph" w:styleId="NoSpacing">
    <w:name w:val="No Spacing"/>
    <w:link w:val="NoSpacingChar"/>
    <w:uiPriority w:val="1"/>
    <w:qFormat/>
    <w:rsid w:val="00AA1917"/>
    <w:pPr>
      <w:spacing w:after="0" w:line="240" w:lineRule="auto"/>
    </w:pPr>
    <w:rPr>
      <w:rFonts w:ascii="Segoe UI" w:eastAsiaTheme="minorEastAsia" w:hAnsi="Segoe UI"/>
      <w:sz w:val="18"/>
      <w:szCs w:val="18"/>
      <w:lang w:eastAsia="fi-FI"/>
    </w:rPr>
  </w:style>
  <w:style w:type="character" w:customStyle="1" w:styleId="NoSpacingChar">
    <w:name w:val="No Spacing Char"/>
    <w:basedOn w:val="DefaultParagraphFont"/>
    <w:link w:val="NoSpacing"/>
    <w:uiPriority w:val="1"/>
    <w:rsid w:val="00AA1917"/>
    <w:rPr>
      <w:rFonts w:ascii="Segoe UI" w:eastAsiaTheme="minorEastAsia" w:hAnsi="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71399">
      <w:bodyDiv w:val="1"/>
      <w:marLeft w:val="0"/>
      <w:marRight w:val="0"/>
      <w:marTop w:val="0"/>
      <w:marBottom w:val="0"/>
      <w:divBdr>
        <w:top w:val="none" w:sz="0" w:space="0" w:color="auto"/>
        <w:left w:val="none" w:sz="0" w:space="0" w:color="auto"/>
        <w:bottom w:val="none" w:sz="0" w:space="0" w:color="auto"/>
        <w:right w:val="none" w:sz="0" w:space="0" w:color="auto"/>
      </w:divBdr>
      <w:divsChild>
        <w:div w:id="1457456195">
          <w:marLeft w:val="1080"/>
          <w:marRight w:val="0"/>
          <w:marTop w:val="100"/>
          <w:marBottom w:val="0"/>
          <w:divBdr>
            <w:top w:val="none" w:sz="0" w:space="0" w:color="auto"/>
            <w:left w:val="none" w:sz="0" w:space="0" w:color="auto"/>
            <w:bottom w:val="none" w:sz="0" w:space="0" w:color="auto"/>
            <w:right w:val="none" w:sz="0" w:space="0" w:color="auto"/>
          </w:divBdr>
        </w:div>
        <w:div w:id="495921263">
          <w:marLeft w:val="1080"/>
          <w:marRight w:val="0"/>
          <w:marTop w:val="100"/>
          <w:marBottom w:val="0"/>
          <w:divBdr>
            <w:top w:val="none" w:sz="0" w:space="0" w:color="auto"/>
            <w:left w:val="none" w:sz="0" w:space="0" w:color="auto"/>
            <w:bottom w:val="none" w:sz="0" w:space="0" w:color="auto"/>
            <w:right w:val="none" w:sz="0" w:space="0" w:color="auto"/>
          </w:divBdr>
        </w:div>
        <w:div w:id="566185003">
          <w:marLeft w:val="1080"/>
          <w:marRight w:val="0"/>
          <w:marTop w:val="100"/>
          <w:marBottom w:val="0"/>
          <w:divBdr>
            <w:top w:val="none" w:sz="0" w:space="0" w:color="auto"/>
            <w:left w:val="none" w:sz="0" w:space="0" w:color="auto"/>
            <w:bottom w:val="none" w:sz="0" w:space="0" w:color="auto"/>
            <w:right w:val="none" w:sz="0" w:space="0" w:color="auto"/>
          </w:divBdr>
        </w:div>
        <w:div w:id="747925892">
          <w:marLeft w:val="1080"/>
          <w:marRight w:val="0"/>
          <w:marTop w:val="100"/>
          <w:marBottom w:val="0"/>
          <w:divBdr>
            <w:top w:val="none" w:sz="0" w:space="0" w:color="auto"/>
            <w:left w:val="none" w:sz="0" w:space="0" w:color="auto"/>
            <w:bottom w:val="none" w:sz="0" w:space="0" w:color="auto"/>
            <w:right w:val="none" w:sz="0" w:space="0" w:color="auto"/>
          </w:divBdr>
        </w:div>
        <w:div w:id="165831254">
          <w:marLeft w:val="1080"/>
          <w:marRight w:val="0"/>
          <w:marTop w:val="100"/>
          <w:marBottom w:val="0"/>
          <w:divBdr>
            <w:top w:val="none" w:sz="0" w:space="0" w:color="auto"/>
            <w:left w:val="none" w:sz="0" w:space="0" w:color="auto"/>
            <w:bottom w:val="none" w:sz="0" w:space="0" w:color="auto"/>
            <w:right w:val="none" w:sz="0" w:space="0" w:color="auto"/>
          </w:divBdr>
        </w:div>
      </w:divsChild>
    </w:div>
    <w:div w:id="608665156">
      <w:bodyDiv w:val="1"/>
      <w:marLeft w:val="0"/>
      <w:marRight w:val="0"/>
      <w:marTop w:val="0"/>
      <w:marBottom w:val="0"/>
      <w:divBdr>
        <w:top w:val="none" w:sz="0" w:space="0" w:color="auto"/>
        <w:left w:val="none" w:sz="0" w:space="0" w:color="auto"/>
        <w:bottom w:val="none" w:sz="0" w:space="0" w:color="auto"/>
        <w:right w:val="none" w:sz="0" w:space="0" w:color="auto"/>
      </w:divBdr>
      <w:divsChild>
        <w:div w:id="1236432890">
          <w:marLeft w:val="360"/>
          <w:marRight w:val="0"/>
          <w:marTop w:val="200"/>
          <w:marBottom w:val="0"/>
          <w:divBdr>
            <w:top w:val="none" w:sz="0" w:space="0" w:color="auto"/>
            <w:left w:val="none" w:sz="0" w:space="0" w:color="auto"/>
            <w:bottom w:val="none" w:sz="0" w:space="0" w:color="auto"/>
            <w:right w:val="none" w:sz="0" w:space="0" w:color="auto"/>
          </w:divBdr>
        </w:div>
        <w:div w:id="1816532177">
          <w:marLeft w:val="1080"/>
          <w:marRight w:val="0"/>
          <w:marTop w:val="100"/>
          <w:marBottom w:val="0"/>
          <w:divBdr>
            <w:top w:val="none" w:sz="0" w:space="0" w:color="auto"/>
            <w:left w:val="none" w:sz="0" w:space="0" w:color="auto"/>
            <w:bottom w:val="none" w:sz="0" w:space="0" w:color="auto"/>
            <w:right w:val="none" w:sz="0" w:space="0" w:color="auto"/>
          </w:divBdr>
        </w:div>
        <w:div w:id="927427957">
          <w:marLeft w:val="1080"/>
          <w:marRight w:val="0"/>
          <w:marTop w:val="100"/>
          <w:marBottom w:val="0"/>
          <w:divBdr>
            <w:top w:val="none" w:sz="0" w:space="0" w:color="auto"/>
            <w:left w:val="none" w:sz="0" w:space="0" w:color="auto"/>
            <w:bottom w:val="none" w:sz="0" w:space="0" w:color="auto"/>
            <w:right w:val="none" w:sz="0" w:space="0" w:color="auto"/>
          </w:divBdr>
        </w:div>
        <w:div w:id="2047100578">
          <w:marLeft w:val="1080"/>
          <w:marRight w:val="0"/>
          <w:marTop w:val="100"/>
          <w:marBottom w:val="0"/>
          <w:divBdr>
            <w:top w:val="none" w:sz="0" w:space="0" w:color="auto"/>
            <w:left w:val="none" w:sz="0" w:space="0" w:color="auto"/>
            <w:bottom w:val="none" w:sz="0" w:space="0" w:color="auto"/>
            <w:right w:val="none" w:sz="0" w:space="0" w:color="auto"/>
          </w:divBdr>
        </w:div>
        <w:div w:id="1971786966">
          <w:marLeft w:val="1080"/>
          <w:marRight w:val="0"/>
          <w:marTop w:val="100"/>
          <w:marBottom w:val="0"/>
          <w:divBdr>
            <w:top w:val="none" w:sz="0" w:space="0" w:color="auto"/>
            <w:left w:val="none" w:sz="0" w:space="0" w:color="auto"/>
            <w:bottom w:val="none" w:sz="0" w:space="0" w:color="auto"/>
            <w:right w:val="none" w:sz="0" w:space="0" w:color="auto"/>
          </w:divBdr>
        </w:div>
        <w:div w:id="1263875355">
          <w:marLeft w:val="1080"/>
          <w:marRight w:val="0"/>
          <w:marTop w:val="100"/>
          <w:marBottom w:val="0"/>
          <w:divBdr>
            <w:top w:val="none" w:sz="0" w:space="0" w:color="auto"/>
            <w:left w:val="none" w:sz="0" w:space="0" w:color="auto"/>
            <w:bottom w:val="none" w:sz="0" w:space="0" w:color="auto"/>
            <w:right w:val="none" w:sz="0" w:space="0" w:color="auto"/>
          </w:divBdr>
        </w:div>
        <w:div w:id="460541410">
          <w:marLeft w:val="360"/>
          <w:marRight w:val="0"/>
          <w:marTop w:val="200"/>
          <w:marBottom w:val="0"/>
          <w:divBdr>
            <w:top w:val="none" w:sz="0" w:space="0" w:color="auto"/>
            <w:left w:val="none" w:sz="0" w:space="0" w:color="auto"/>
            <w:bottom w:val="none" w:sz="0" w:space="0" w:color="auto"/>
            <w:right w:val="none" w:sz="0" w:space="0" w:color="auto"/>
          </w:divBdr>
        </w:div>
        <w:div w:id="383869327">
          <w:marLeft w:val="1080"/>
          <w:marRight w:val="0"/>
          <w:marTop w:val="100"/>
          <w:marBottom w:val="0"/>
          <w:divBdr>
            <w:top w:val="none" w:sz="0" w:space="0" w:color="auto"/>
            <w:left w:val="none" w:sz="0" w:space="0" w:color="auto"/>
            <w:bottom w:val="none" w:sz="0" w:space="0" w:color="auto"/>
            <w:right w:val="none" w:sz="0" w:space="0" w:color="auto"/>
          </w:divBdr>
        </w:div>
        <w:div w:id="1449815586">
          <w:marLeft w:val="360"/>
          <w:marRight w:val="0"/>
          <w:marTop w:val="200"/>
          <w:marBottom w:val="0"/>
          <w:divBdr>
            <w:top w:val="none" w:sz="0" w:space="0" w:color="auto"/>
            <w:left w:val="none" w:sz="0" w:space="0" w:color="auto"/>
            <w:bottom w:val="none" w:sz="0" w:space="0" w:color="auto"/>
            <w:right w:val="none" w:sz="0" w:space="0" w:color="auto"/>
          </w:divBdr>
        </w:div>
      </w:divsChild>
    </w:div>
    <w:div w:id="903880901">
      <w:bodyDiv w:val="1"/>
      <w:marLeft w:val="0"/>
      <w:marRight w:val="0"/>
      <w:marTop w:val="0"/>
      <w:marBottom w:val="0"/>
      <w:divBdr>
        <w:top w:val="none" w:sz="0" w:space="0" w:color="auto"/>
        <w:left w:val="none" w:sz="0" w:space="0" w:color="auto"/>
        <w:bottom w:val="none" w:sz="0" w:space="0" w:color="auto"/>
        <w:right w:val="none" w:sz="0" w:space="0" w:color="auto"/>
      </w:divBdr>
      <w:divsChild>
        <w:div w:id="1528908353">
          <w:marLeft w:val="1080"/>
          <w:marRight w:val="0"/>
          <w:marTop w:val="100"/>
          <w:marBottom w:val="0"/>
          <w:divBdr>
            <w:top w:val="none" w:sz="0" w:space="0" w:color="auto"/>
            <w:left w:val="none" w:sz="0" w:space="0" w:color="auto"/>
            <w:bottom w:val="none" w:sz="0" w:space="0" w:color="auto"/>
            <w:right w:val="none" w:sz="0" w:space="0" w:color="auto"/>
          </w:divBdr>
        </w:div>
        <w:div w:id="234436693">
          <w:marLeft w:val="1080"/>
          <w:marRight w:val="0"/>
          <w:marTop w:val="100"/>
          <w:marBottom w:val="0"/>
          <w:divBdr>
            <w:top w:val="none" w:sz="0" w:space="0" w:color="auto"/>
            <w:left w:val="none" w:sz="0" w:space="0" w:color="auto"/>
            <w:bottom w:val="none" w:sz="0" w:space="0" w:color="auto"/>
            <w:right w:val="none" w:sz="0" w:space="0" w:color="auto"/>
          </w:divBdr>
        </w:div>
        <w:div w:id="1866944307">
          <w:marLeft w:val="1080"/>
          <w:marRight w:val="0"/>
          <w:marTop w:val="100"/>
          <w:marBottom w:val="0"/>
          <w:divBdr>
            <w:top w:val="none" w:sz="0" w:space="0" w:color="auto"/>
            <w:left w:val="none" w:sz="0" w:space="0" w:color="auto"/>
            <w:bottom w:val="none" w:sz="0" w:space="0" w:color="auto"/>
            <w:right w:val="none" w:sz="0" w:space="0" w:color="auto"/>
          </w:divBdr>
        </w:div>
        <w:div w:id="2065063267">
          <w:marLeft w:val="1080"/>
          <w:marRight w:val="0"/>
          <w:marTop w:val="100"/>
          <w:marBottom w:val="0"/>
          <w:divBdr>
            <w:top w:val="none" w:sz="0" w:space="0" w:color="auto"/>
            <w:left w:val="none" w:sz="0" w:space="0" w:color="auto"/>
            <w:bottom w:val="none" w:sz="0" w:space="0" w:color="auto"/>
            <w:right w:val="none" w:sz="0" w:space="0" w:color="auto"/>
          </w:divBdr>
        </w:div>
        <w:div w:id="897934818">
          <w:marLeft w:val="1080"/>
          <w:marRight w:val="0"/>
          <w:marTop w:val="100"/>
          <w:marBottom w:val="0"/>
          <w:divBdr>
            <w:top w:val="none" w:sz="0" w:space="0" w:color="auto"/>
            <w:left w:val="none" w:sz="0" w:space="0" w:color="auto"/>
            <w:bottom w:val="none" w:sz="0" w:space="0" w:color="auto"/>
            <w:right w:val="none" w:sz="0" w:space="0" w:color="auto"/>
          </w:divBdr>
        </w:div>
        <w:div w:id="466243698">
          <w:marLeft w:val="1080"/>
          <w:marRight w:val="0"/>
          <w:marTop w:val="100"/>
          <w:marBottom w:val="0"/>
          <w:divBdr>
            <w:top w:val="none" w:sz="0" w:space="0" w:color="auto"/>
            <w:left w:val="none" w:sz="0" w:space="0" w:color="auto"/>
            <w:bottom w:val="none" w:sz="0" w:space="0" w:color="auto"/>
            <w:right w:val="none" w:sz="0" w:space="0" w:color="auto"/>
          </w:divBdr>
        </w:div>
        <w:div w:id="193921930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uropa.eu/en/publication-detail/-/publication/ffcb06c3-200a-11ec-bd8e-01aa75ed71a1/language-en/format-PDF/source-2321296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71E3-85A1-4E56-9DD6-FDB84076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1471</Words>
  <Characters>11924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Centria Ammattikorkeakoulu</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Forsell</dc:creator>
  <cp:keywords/>
  <dc:description/>
  <cp:lastModifiedBy>Marko Forsell</cp:lastModifiedBy>
  <cp:revision>12</cp:revision>
  <dcterms:created xsi:type="dcterms:W3CDTF">2021-11-22T07:43:00Z</dcterms:created>
  <dcterms:modified xsi:type="dcterms:W3CDTF">2022-01-11T06:49:00Z</dcterms:modified>
</cp:coreProperties>
</file>